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ascii="宋体" w:hAnsi="宋体" w:eastAsia="宋体"/>
          <w:b/>
          <w:bCs/>
          <w:sz w:val="44"/>
          <w:szCs w:val="44"/>
        </w:rPr>
      </w:pPr>
    </w:p>
    <w:p>
      <w:pPr>
        <w:ind w:firstLine="0" w:firstLineChars="0"/>
        <w:rPr>
          <w:rFonts w:ascii="宋体" w:hAnsi="宋体" w:eastAsia="宋体"/>
          <w:b/>
          <w:bCs/>
          <w:sz w:val="44"/>
          <w:szCs w:val="44"/>
        </w:rPr>
      </w:pPr>
    </w:p>
    <w:p>
      <w:pPr>
        <w:ind w:firstLine="0" w:firstLineChars="0"/>
        <w:rPr>
          <w:rFonts w:ascii="宋体" w:hAnsi="宋体" w:eastAsia="宋体"/>
          <w:b/>
          <w:bCs/>
          <w:sz w:val="44"/>
          <w:szCs w:val="44"/>
        </w:rPr>
      </w:pPr>
    </w:p>
    <w:p>
      <w:pPr>
        <w:ind w:firstLine="0" w:firstLineChars="0"/>
        <w:jc w:val="center"/>
        <w:rPr>
          <w:rFonts w:ascii="宋体" w:hAnsi="宋体" w:eastAsia="宋体"/>
          <w:b/>
          <w:bCs/>
          <w:sz w:val="44"/>
          <w:szCs w:val="44"/>
        </w:rPr>
      </w:pPr>
      <w:r>
        <w:rPr>
          <w:rFonts w:ascii="宋体" w:hAnsi="宋体" w:eastAsia="宋体"/>
          <w:b/>
          <w:bCs/>
          <w:sz w:val="44"/>
          <w:szCs w:val="44"/>
        </w:rPr>
        <w:t>202</w:t>
      </w:r>
      <w:r>
        <w:rPr>
          <w:rFonts w:hint="eastAsia" w:ascii="宋体" w:hAnsi="宋体" w:eastAsia="宋体"/>
          <w:b/>
          <w:bCs/>
          <w:sz w:val="44"/>
          <w:szCs w:val="44"/>
          <w:lang w:val="en-US" w:eastAsia="zh-CN"/>
        </w:rPr>
        <w:t>1</w:t>
      </w:r>
      <w:r>
        <w:rPr>
          <w:rFonts w:ascii="宋体" w:hAnsi="宋体" w:eastAsia="宋体"/>
          <w:b/>
          <w:bCs/>
          <w:sz w:val="44"/>
          <w:szCs w:val="44"/>
        </w:rPr>
        <w:t>年度</w:t>
      </w:r>
      <w:r>
        <w:rPr>
          <w:rFonts w:hint="eastAsia" w:ascii="宋体" w:hAnsi="宋体" w:eastAsia="宋体"/>
          <w:b/>
          <w:bCs/>
          <w:sz w:val="44"/>
          <w:szCs w:val="44"/>
        </w:rPr>
        <w:t>中国民主同盟甘肃省委员会</w:t>
      </w:r>
    </w:p>
    <w:p>
      <w:pPr>
        <w:ind w:firstLine="0" w:firstLineChars="0"/>
        <w:jc w:val="center"/>
        <w:rPr>
          <w:rFonts w:ascii="宋体" w:hAnsi="宋体" w:eastAsia="宋体"/>
          <w:b/>
          <w:bCs/>
          <w:sz w:val="44"/>
          <w:szCs w:val="44"/>
        </w:rPr>
      </w:pPr>
      <w:r>
        <w:rPr>
          <w:rFonts w:hint="eastAsia" w:ascii="宋体" w:hAnsi="宋体" w:eastAsia="宋体"/>
          <w:b/>
          <w:bCs/>
          <w:sz w:val="44"/>
          <w:szCs w:val="44"/>
        </w:rPr>
        <w:t>部门</w:t>
      </w:r>
      <w:r>
        <w:rPr>
          <w:rFonts w:ascii="宋体" w:hAnsi="宋体" w:eastAsia="宋体"/>
          <w:b/>
          <w:bCs/>
          <w:sz w:val="44"/>
          <w:szCs w:val="44"/>
        </w:rPr>
        <w:t>预算执行情况自评报告</w:t>
      </w:r>
    </w:p>
    <w:p>
      <w:pPr>
        <w:widowControl/>
        <w:ind w:firstLine="0" w:firstLineChars="0"/>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0" w:firstLineChars="0"/>
        <w:jc w:val="center"/>
        <w:rPr>
          <w:rFonts w:ascii="宋体" w:hAnsi="宋体" w:eastAsia="宋体"/>
          <w:b/>
          <w:bCs/>
          <w:sz w:val="32"/>
          <w:szCs w:val="32"/>
        </w:rPr>
      </w:pPr>
      <w:r>
        <w:rPr>
          <w:rFonts w:hint="eastAsia" w:ascii="宋体" w:hAnsi="宋体" w:eastAsia="宋体"/>
          <w:b/>
          <w:bCs/>
          <w:sz w:val="32"/>
          <w:szCs w:val="32"/>
        </w:rPr>
        <w:t>中国民主同盟甘肃省委员会</w:t>
      </w:r>
    </w:p>
    <w:p>
      <w:pPr>
        <w:ind w:firstLine="0" w:firstLineChars="0"/>
        <w:jc w:val="center"/>
        <w:rPr>
          <w:rFonts w:ascii="宋体" w:hAnsi="宋体" w:eastAsia="宋体"/>
          <w:b/>
          <w:bCs/>
          <w:sz w:val="32"/>
          <w:szCs w:val="32"/>
        </w:rPr>
      </w:pPr>
      <w:r>
        <w:rPr>
          <w:rFonts w:hint="eastAsia" w:ascii="宋体" w:hAnsi="宋体" w:eastAsia="宋体"/>
          <w:b/>
          <w:bCs/>
          <w:sz w:val="32"/>
          <w:szCs w:val="32"/>
        </w:rPr>
        <w:t>202</w:t>
      </w:r>
      <w:r>
        <w:rPr>
          <w:rFonts w:hint="eastAsia" w:ascii="宋体" w:hAnsi="宋体" w:eastAsia="宋体"/>
          <w:b/>
          <w:bCs/>
          <w:sz w:val="32"/>
          <w:szCs w:val="32"/>
          <w:lang w:val="en-US" w:eastAsia="zh-CN"/>
        </w:rPr>
        <w:t>2</w:t>
      </w:r>
      <w:r>
        <w:rPr>
          <w:rFonts w:hint="eastAsia" w:ascii="宋体" w:hAnsi="宋体" w:eastAsia="宋体"/>
          <w:b/>
          <w:bCs/>
          <w:sz w:val="32"/>
          <w:szCs w:val="32"/>
        </w:rPr>
        <w:t>年</w:t>
      </w:r>
      <w:r>
        <w:rPr>
          <w:rFonts w:ascii="宋体" w:hAnsi="宋体" w:eastAsia="宋体"/>
          <w:b/>
          <w:bCs/>
          <w:sz w:val="32"/>
          <w:szCs w:val="32"/>
        </w:rPr>
        <w:t>2</w:t>
      </w:r>
      <w:r>
        <w:rPr>
          <w:rFonts w:hint="eastAsia" w:ascii="宋体" w:hAnsi="宋体" w:eastAsia="宋体"/>
          <w:b/>
          <w:bCs/>
          <w:sz w:val="32"/>
          <w:szCs w:val="32"/>
        </w:rPr>
        <w:t>月</w:t>
      </w:r>
      <w:r>
        <w:rPr>
          <w:rFonts w:ascii="宋体" w:hAnsi="宋体" w:eastAsia="宋体"/>
          <w:b/>
          <w:bCs/>
          <w:sz w:val="32"/>
          <w:szCs w:val="32"/>
        </w:rPr>
        <w:t>28</w:t>
      </w:r>
      <w:r>
        <w:rPr>
          <w:rFonts w:hint="eastAsia" w:ascii="宋体" w:hAnsi="宋体" w:eastAsia="宋体"/>
          <w:b/>
          <w:bCs/>
          <w:sz w:val="32"/>
          <w:szCs w:val="32"/>
        </w:rPr>
        <w:t>日</w:t>
      </w:r>
    </w:p>
    <w:sdt>
      <w:sdtPr>
        <w:rPr>
          <w:rFonts w:ascii="仿宋_GB2312" w:hAnsi="仿宋_GB2312" w:eastAsia="仿宋_GB2312" w:cstheme="minorBidi"/>
          <w:color w:val="auto"/>
          <w:kern w:val="2"/>
          <w:sz w:val="28"/>
          <w:szCs w:val="22"/>
          <w:lang w:val="zh-CN"/>
        </w:rPr>
        <w:id w:val="-435986753"/>
      </w:sdtPr>
      <w:sdtEndPr>
        <w:rPr>
          <w:rFonts w:ascii="仿宋_GB2312" w:hAnsi="仿宋_GB2312" w:eastAsia="仿宋_GB2312" w:cstheme="minorBidi"/>
          <w:b/>
          <w:bCs/>
          <w:color w:val="auto"/>
          <w:kern w:val="2"/>
          <w:sz w:val="28"/>
          <w:szCs w:val="22"/>
          <w:lang w:val="zh-CN"/>
        </w:rPr>
      </w:sdtEndPr>
      <w:sdtContent>
        <w:p>
          <w:pPr>
            <w:pStyle w:val="30"/>
            <w:spacing w:line="360" w:lineRule="auto"/>
            <w:ind w:firstLine="560"/>
            <w:jc w:val="center"/>
            <w:rPr>
              <w:rFonts w:ascii="黑体" w:hAnsi="黑体" w:eastAsia="黑体"/>
              <w:color w:val="auto"/>
            </w:rPr>
          </w:pPr>
          <w:r>
            <w:rPr>
              <w:rFonts w:ascii="黑体" w:hAnsi="黑体" w:eastAsia="黑体"/>
              <w:color w:val="auto"/>
              <w:lang w:val="zh-CN"/>
            </w:rPr>
            <w:t>目</w:t>
          </w:r>
          <w:r>
            <w:rPr>
              <w:rFonts w:hint="eastAsia" w:ascii="黑体" w:hAnsi="黑体" w:eastAsia="黑体"/>
              <w:color w:val="auto"/>
              <w:lang w:val="zh-CN"/>
            </w:rPr>
            <w:t xml:space="preserve"> </w:t>
          </w:r>
          <w:r>
            <w:rPr>
              <w:rFonts w:ascii="黑体" w:hAnsi="黑体" w:eastAsia="黑体"/>
              <w:color w:val="auto"/>
              <w:lang w:val="zh-CN"/>
            </w:rPr>
            <w:t xml:space="preserve"> 录</w:t>
          </w:r>
        </w:p>
        <w:p>
          <w:pPr>
            <w:pStyle w:val="12"/>
            <w:rPr>
              <w:rFonts w:asciiTheme="minorHAnsi" w:hAnsiTheme="minorHAnsi" w:eastAsiaTheme="minorEastAsia"/>
              <w:b w:val="0"/>
              <w:bCs w:val="0"/>
              <w:sz w:val="21"/>
            </w:rPr>
          </w:pPr>
          <w:r>
            <w:fldChar w:fldCharType="begin"/>
          </w:r>
          <w:r>
            <w:instrText xml:space="preserve"> TOC \o "1-2" \h \z \u </w:instrText>
          </w:r>
          <w:r>
            <w:fldChar w:fldCharType="separate"/>
          </w:r>
          <w:r>
            <w:fldChar w:fldCharType="begin"/>
          </w:r>
          <w:r>
            <w:instrText xml:space="preserve"> HYPERLINK \l "_Toc65597704" </w:instrText>
          </w:r>
          <w:r>
            <w:fldChar w:fldCharType="separate"/>
          </w:r>
          <w:r>
            <w:rPr>
              <w:rStyle w:val="20"/>
            </w:rPr>
            <w:t>一、基本情况</w:t>
          </w:r>
          <w:r>
            <w:tab/>
          </w:r>
          <w:r>
            <w:fldChar w:fldCharType="begin"/>
          </w:r>
          <w:r>
            <w:instrText xml:space="preserve"> PAGEREF _Toc65597704 \h </w:instrText>
          </w:r>
          <w:r>
            <w:fldChar w:fldCharType="separate"/>
          </w:r>
          <w:r>
            <w:t>1</w:t>
          </w:r>
          <w:r>
            <w:fldChar w:fldCharType="end"/>
          </w:r>
          <w:r>
            <w:fldChar w:fldCharType="end"/>
          </w:r>
        </w:p>
        <w:p>
          <w:pPr>
            <w:pStyle w:val="13"/>
            <w:rPr>
              <w:rFonts w:asciiTheme="minorHAnsi" w:hAnsiTheme="minorHAnsi" w:eastAsiaTheme="minorEastAsia"/>
              <w:sz w:val="21"/>
            </w:rPr>
          </w:pPr>
          <w:r>
            <w:fldChar w:fldCharType="begin"/>
          </w:r>
          <w:r>
            <w:instrText xml:space="preserve"> HYPERLINK \l "_Toc65597705" </w:instrText>
          </w:r>
          <w:r>
            <w:fldChar w:fldCharType="separate"/>
          </w:r>
          <w:r>
            <w:rPr>
              <w:rStyle w:val="20"/>
            </w:rPr>
            <w:t>（一）部门主要职能</w:t>
          </w:r>
          <w:r>
            <w:tab/>
          </w:r>
          <w:r>
            <w:fldChar w:fldCharType="begin"/>
          </w:r>
          <w:r>
            <w:instrText xml:space="preserve"> PAGEREF _Toc65597705 \h </w:instrText>
          </w:r>
          <w:r>
            <w:fldChar w:fldCharType="separate"/>
          </w:r>
          <w:r>
            <w:t>1</w:t>
          </w:r>
          <w:r>
            <w:fldChar w:fldCharType="end"/>
          </w:r>
          <w:r>
            <w:fldChar w:fldCharType="end"/>
          </w:r>
        </w:p>
        <w:p>
          <w:pPr>
            <w:pStyle w:val="13"/>
            <w:rPr>
              <w:rFonts w:asciiTheme="minorHAnsi" w:hAnsiTheme="minorHAnsi" w:eastAsiaTheme="minorEastAsia"/>
              <w:sz w:val="21"/>
            </w:rPr>
          </w:pPr>
          <w:r>
            <w:fldChar w:fldCharType="begin"/>
          </w:r>
          <w:r>
            <w:instrText xml:space="preserve"> HYPERLINK \l "_Toc65597706" </w:instrText>
          </w:r>
          <w:r>
            <w:fldChar w:fldCharType="separate"/>
          </w:r>
          <w:r>
            <w:rPr>
              <w:rStyle w:val="20"/>
            </w:rPr>
            <w:t>（二）内设机构及所属单位概况</w:t>
          </w:r>
          <w:r>
            <w:tab/>
          </w:r>
          <w:r>
            <w:fldChar w:fldCharType="begin"/>
          </w:r>
          <w:r>
            <w:instrText xml:space="preserve"> PAGEREF _Toc65597706 \h </w:instrText>
          </w:r>
          <w:r>
            <w:fldChar w:fldCharType="separate"/>
          </w:r>
          <w:r>
            <w:t>2</w:t>
          </w:r>
          <w:r>
            <w:fldChar w:fldCharType="end"/>
          </w:r>
          <w:r>
            <w:fldChar w:fldCharType="end"/>
          </w:r>
        </w:p>
        <w:p>
          <w:pPr>
            <w:pStyle w:val="12"/>
            <w:rPr>
              <w:rFonts w:asciiTheme="minorHAnsi" w:hAnsiTheme="minorHAnsi" w:eastAsiaTheme="minorEastAsia"/>
              <w:b w:val="0"/>
              <w:bCs w:val="0"/>
              <w:sz w:val="21"/>
            </w:rPr>
          </w:pPr>
          <w:r>
            <w:fldChar w:fldCharType="begin"/>
          </w:r>
          <w:r>
            <w:instrText xml:space="preserve"> HYPERLINK \l "_Toc65597707" </w:instrText>
          </w:r>
          <w:r>
            <w:fldChar w:fldCharType="separate"/>
          </w:r>
          <w:r>
            <w:rPr>
              <w:rStyle w:val="20"/>
            </w:rPr>
            <w:t>二、绩效自评工作组织开展情况</w:t>
          </w:r>
          <w:r>
            <w:tab/>
          </w:r>
          <w:r>
            <w:fldChar w:fldCharType="begin"/>
          </w:r>
          <w:r>
            <w:instrText xml:space="preserve"> PAGEREF _Toc65597707 \h </w:instrText>
          </w:r>
          <w:r>
            <w:fldChar w:fldCharType="separate"/>
          </w:r>
          <w:r>
            <w:t>5</w:t>
          </w:r>
          <w:r>
            <w:fldChar w:fldCharType="end"/>
          </w:r>
          <w:r>
            <w:fldChar w:fldCharType="end"/>
          </w:r>
        </w:p>
        <w:p>
          <w:pPr>
            <w:pStyle w:val="13"/>
            <w:rPr>
              <w:rFonts w:asciiTheme="minorHAnsi" w:hAnsiTheme="minorHAnsi" w:eastAsiaTheme="minorEastAsia"/>
              <w:sz w:val="21"/>
            </w:rPr>
          </w:pPr>
          <w:r>
            <w:fldChar w:fldCharType="begin"/>
          </w:r>
          <w:r>
            <w:instrText xml:space="preserve"> HYPERLINK \l "_Toc65597708" </w:instrText>
          </w:r>
          <w:r>
            <w:fldChar w:fldCharType="separate"/>
          </w:r>
          <w:r>
            <w:rPr>
              <w:rStyle w:val="20"/>
              <w:rFonts w:hAnsi="仿宋"/>
            </w:rPr>
            <w:t>（一）自评对象和范围</w:t>
          </w:r>
          <w:r>
            <w:tab/>
          </w:r>
          <w:r>
            <w:fldChar w:fldCharType="begin"/>
          </w:r>
          <w:r>
            <w:instrText xml:space="preserve"> PAGEREF _Toc65597708 \h </w:instrText>
          </w:r>
          <w:r>
            <w:fldChar w:fldCharType="separate"/>
          </w:r>
          <w:r>
            <w:t>5</w:t>
          </w:r>
          <w:r>
            <w:fldChar w:fldCharType="end"/>
          </w:r>
          <w:r>
            <w:fldChar w:fldCharType="end"/>
          </w:r>
        </w:p>
        <w:p>
          <w:pPr>
            <w:pStyle w:val="13"/>
            <w:rPr>
              <w:rFonts w:asciiTheme="minorHAnsi" w:hAnsiTheme="minorHAnsi" w:eastAsiaTheme="minorEastAsia"/>
              <w:sz w:val="21"/>
            </w:rPr>
          </w:pPr>
          <w:r>
            <w:fldChar w:fldCharType="begin"/>
          </w:r>
          <w:r>
            <w:instrText xml:space="preserve"> HYPERLINK \l "_Toc65597709" </w:instrText>
          </w:r>
          <w:r>
            <w:fldChar w:fldCharType="separate"/>
          </w:r>
          <w:r>
            <w:rPr>
              <w:rStyle w:val="20"/>
              <w:rFonts w:hAnsi="仿宋"/>
            </w:rPr>
            <w:t>（二）自评组织管理情况</w:t>
          </w:r>
          <w:r>
            <w:tab/>
          </w:r>
          <w:r>
            <w:fldChar w:fldCharType="begin"/>
          </w:r>
          <w:r>
            <w:instrText xml:space="preserve"> PAGEREF _Toc65597709 \h </w:instrText>
          </w:r>
          <w:r>
            <w:fldChar w:fldCharType="separate"/>
          </w:r>
          <w:r>
            <w:t>5</w:t>
          </w:r>
          <w:r>
            <w:fldChar w:fldCharType="end"/>
          </w:r>
          <w:r>
            <w:fldChar w:fldCharType="end"/>
          </w:r>
        </w:p>
        <w:p>
          <w:pPr>
            <w:pStyle w:val="12"/>
            <w:rPr>
              <w:rFonts w:asciiTheme="minorHAnsi" w:hAnsiTheme="minorHAnsi" w:eastAsiaTheme="minorEastAsia"/>
              <w:b w:val="0"/>
              <w:bCs w:val="0"/>
              <w:sz w:val="21"/>
            </w:rPr>
          </w:pPr>
          <w:r>
            <w:fldChar w:fldCharType="begin"/>
          </w:r>
          <w:r>
            <w:instrText xml:space="preserve"> HYPERLINK \l "_Toc65597710" </w:instrText>
          </w:r>
          <w:r>
            <w:fldChar w:fldCharType="separate"/>
          </w:r>
          <w:r>
            <w:rPr>
              <w:rStyle w:val="20"/>
            </w:rPr>
            <w:t>三、部门整体支出绩效自评情况分析</w:t>
          </w:r>
          <w:r>
            <w:tab/>
          </w:r>
          <w:r>
            <w:fldChar w:fldCharType="begin"/>
          </w:r>
          <w:r>
            <w:instrText xml:space="preserve"> PAGEREF _Toc65597710 \h </w:instrText>
          </w:r>
          <w:r>
            <w:fldChar w:fldCharType="separate"/>
          </w:r>
          <w:r>
            <w:t>6</w:t>
          </w:r>
          <w:r>
            <w:fldChar w:fldCharType="end"/>
          </w:r>
          <w:r>
            <w:fldChar w:fldCharType="end"/>
          </w:r>
        </w:p>
        <w:p>
          <w:pPr>
            <w:pStyle w:val="13"/>
            <w:rPr>
              <w:rFonts w:asciiTheme="minorHAnsi" w:hAnsiTheme="minorHAnsi" w:eastAsiaTheme="minorEastAsia"/>
              <w:sz w:val="21"/>
            </w:rPr>
          </w:pPr>
          <w:r>
            <w:fldChar w:fldCharType="begin"/>
          </w:r>
          <w:r>
            <w:instrText xml:space="preserve"> HYPERLINK \l "_Toc65597711" </w:instrText>
          </w:r>
          <w:r>
            <w:fldChar w:fldCharType="separate"/>
          </w:r>
          <w:r>
            <w:rPr>
              <w:rStyle w:val="20"/>
            </w:rPr>
            <w:t>（一）部门决算情况</w:t>
          </w:r>
          <w:r>
            <w:tab/>
          </w:r>
          <w:r>
            <w:fldChar w:fldCharType="begin"/>
          </w:r>
          <w:r>
            <w:instrText xml:space="preserve"> PAGEREF _Toc65597711 \h </w:instrText>
          </w:r>
          <w:r>
            <w:fldChar w:fldCharType="separate"/>
          </w:r>
          <w:r>
            <w:t>6</w:t>
          </w:r>
          <w:r>
            <w:fldChar w:fldCharType="end"/>
          </w:r>
          <w:r>
            <w:fldChar w:fldCharType="end"/>
          </w:r>
        </w:p>
        <w:p>
          <w:pPr>
            <w:pStyle w:val="13"/>
            <w:rPr>
              <w:rFonts w:asciiTheme="minorHAnsi" w:hAnsiTheme="minorHAnsi" w:eastAsiaTheme="minorEastAsia"/>
              <w:sz w:val="21"/>
            </w:rPr>
          </w:pPr>
          <w:r>
            <w:fldChar w:fldCharType="begin"/>
          </w:r>
          <w:r>
            <w:instrText xml:space="preserve"> HYPERLINK \l "_Toc65597712" </w:instrText>
          </w:r>
          <w:r>
            <w:fldChar w:fldCharType="separate"/>
          </w:r>
          <w:r>
            <w:rPr>
              <w:rStyle w:val="20"/>
            </w:rPr>
            <w:t>（二）总体绩效目标完成情况分析</w:t>
          </w:r>
          <w:r>
            <w:tab/>
          </w:r>
          <w:r>
            <w:fldChar w:fldCharType="begin"/>
          </w:r>
          <w:r>
            <w:instrText xml:space="preserve"> PAGEREF _Toc65597712 \h </w:instrText>
          </w:r>
          <w:r>
            <w:fldChar w:fldCharType="separate"/>
          </w:r>
          <w:r>
            <w:t>6</w:t>
          </w:r>
          <w:r>
            <w:fldChar w:fldCharType="end"/>
          </w:r>
          <w:r>
            <w:fldChar w:fldCharType="end"/>
          </w:r>
        </w:p>
        <w:p>
          <w:pPr>
            <w:pStyle w:val="13"/>
            <w:rPr>
              <w:rFonts w:asciiTheme="minorHAnsi" w:hAnsiTheme="minorHAnsi" w:eastAsiaTheme="minorEastAsia"/>
              <w:sz w:val="21"/>
            </w:rPr>
          </w:pPr>
          <w:r>
            <w:fldChar w:fldCharType="begin"/>
          </w:r>
          <w:r>
            <w:instrText xml:space="preserve"> HYPERLINK \l "_Toc65597713" </w:instrText>
          </w:r>
          <w:r>
            <w:fldChar w:fldCharType="separate"/>
          </w:r>
          <w:r>
            <w:rPr>
              <w:rStyle w:val="20"/>
            </w:rPr>
            <w:t>（三）各项指标完成情况分析</w:t>
          </w:r>
          <w:r>
            <w:tab/>
          </w:r>
          <w:r>
            <w:fldChar w:fldCharType="begin"/>
          </w:r>
          <w:r>
            <w:instrText xml:space="preserve"> PAGEREF _Toc65597713 \h </w:instrText>
          </w:r>
          <w:r>
            <w:fldChar w:fldCharType="separate"/>
          </w:r>
          <w:r>
            <w:t>9</w:t>
          </w:r>
          <w:r>
            <w:fldChar w:fldCharType="end"/>
          </w:r>
          <w:r>
            <w:fldChar w:fldCharType="end"/>
          </w:r>
        </w:p>
        <w:p>
          <w:pPr>
            <w:pStyle w:val="13"/>
            <w:rPr>
              <w:rFonts w:asciiTheme="minorHAnsi" w:hAnsiTheme="minorHAnsi" w:eastAsiaTheme="minorEastAsia"/>
              <w:sz w:val="21"/>
            </w:rPr>
          </w:pPr>
          <w:r>
            <w:fldChar w:fldCharType="begin"/>
          </w:r>
          <w:r>
            <w:instrText xml:space="preserve"> HYPERLINK \l "_Toc65597714" </w:instrText>
          </w:r>
          <w:r>
            <w:fldChar w:fldCharType="separate"/>
          </w:r>
          <w:r>
            <w:rPr>
              <w:rStyle w:val="20"/>
            </w:rPr>
            <w:t>（四）偏离绩效目标的原因及下一步改进措施</w:t>
          </w:r>
          <w:r>
            <w:tab/>
          </w:r>
          <w:r>
            <w:fldChar w:fldCharType="begin"/>
          </w:r>
          <w:r>
            <w:instrText xml:space="preserve"> PAGEREF _Toc65597714 \h </w:instrText>
          </w:r>
          <w:r>
            <w:fldChar w:fldCharType="separate"/>
          </w:r>
          <w:r>
            <w:t>16</w:t>
          </w:r>
          <w:r>
            <w:fldChar w:fldCharType="end"/>
          </w:r>
          <w:r>
            <w:fldChar w:fldCharType="end"/>
          </w:r>
        </w:p>
        <w:p>
          <w:pPr>
            <w:pStyle w:val="12"/>
            <w:rPr>
              <w:rFonts w:asciiTheme="minorHAnsi" w:hAnsiTheme="minorHAnsi" w:eastAsiaTheme="minorEastAsia"/>
              <w:b w:val="0"/>
              <w:bCs w:val="0"/>
              <w:sz w:val="21"/>
            </w:rPr>
          </w:pPr>
          <w:r>
            <w:fldChar w:fldCharType="begin"/>
          </w:r>
          <w:r>
            <w:instrText xml:space="preserve"> HYPERLINK \l "_Toc65597715" </w:instrText>
          </w:r>
          <w:r>
            <w:fldChar w:fldCharType="separate"/>
          </w:r>
          <w:r>
            <w:rPr>
              <w:rStyle w:val="20"/>
            </w:rPr>
            <w:t>四、部门预算项目支出绩效自评情况分析</w:t>
          </w:r>
          <w:r>
            <w:tab/>
          </w:r>
          <w:r>
            <w:fldChar w:fldCharType="begin"/>
          </w:r>
          <w:r>
            <w:instrText xml:space="preserve"> PAGEREF _Toc65597715 \h </w:instrText>
          </w:r>
          <w:r>
            <w:fldChar w:fldCharType="separate"/>
          </w:r>
          <w:r>
            <w:t>17</w:t>
          </w:r>
          <w:r>
            <w:fldChar w:fldCharType="end"/>
          </w:r>
          <w:r>
            <w:fldChar w:fldCharType="end"/>
          </w:r>
        </w:p>
        <w:p>
          <w:pPr>
            <w:pStyle w:val="13"/>
            <w:rPr>
              <w:rFonts w:asciiTheme="minorHAnsi" w:hAnsiTheme="minorHAnsi" w:eastAsiaTheme="minorEastAsia"/>
              <w:sz w:val="21"/>
            </w:rPr>
          </w:pPr>
          <w:r>
            <w:fldChar w:fldCharType="begin"/>
          </w:r>
          <w:r>
            <w:instrText xml:space="preserve"> HYPERLINK \l "_Toc65597716" </w:instrText>
          </w:r>
          <w:r>
            <w:fldChar w:fldCharType="separate"/>
          </w:r>
          <w:r>
            <w:rPr>
              <w:rStyle w:val="20"/>
            </w:rPr>
            <w:t>（一）项目-主委特别费、培训费、调研费、业务费</w:t>
          </w:r>
          <w:r>
            <w:tab/>
          </w:r>
          <w:r>
            <w:fldChar w:fldCharType="begin"/>
          </w:r>
          <w:r>
            <w:instrText xml:space="preserve"> PAGEREF _Toc65597716 \h </w:instrText>
          </w:r>
          <w:r>
            <w:fldChar w:fldCharType="separate"/>
          </w:r>
          <w:r>
            <w:t>17</w:t>
          </w:r>
          <w:r>
            <w:fldChar w:fldCharType="end"/>
          </w:r>
          <w:r>
            <w:fldChar w:fldCharType="end"/>
          </w:r>
        </w:p>
        <w:p>
          <w:pPr>
            <w:pStyle w:val="12"/>
            <w:rPr>
              <w:rFonts w:asciiTheme="minorHAnsi" w:hAnsiTheme="minorHAnsi" w:eastAsiaTheme="minorEastAsia"/>
              <w:b w:val="0"/>
              <w:bCs w:val="0"/>
              <w:sz w:val="21"/>
            </w:rPr>
          </w:pPr>
          <w:r>
            <w:fldChar w:fldCharType="begin"/>
          </w:r>
          <w:r>
            <w:instrText xml:space="preserve"> HYPERLINK \l "_Toc65597717" </w:instrText>
          </w:r>
          <w:r>
            <w:fldChar w:fldCharType="separate"/>
          </w:r>
          <w:r>
            <w:rPr>
              <w:rStyle w:val="20"/>
            </w:rPr>
            <w:t>五、部门管理的省对市县转移支付绩效自评情况分析</w:t>
          </w:r>
          <w:r>
            <w:tab/>
          </w:r>
          <w:r>
            <w:fldChar w:fldCharType="begin"/>
          </w:r>
          <w:r>
            <w:instrText xml:space="preserve"> PAGEREF _Toc65597717 \h </w:instrText>
          </w:r>
          <w:r>
            <w:fldChar w:fldCharType="separate"/>
          </w:r>
          <w:r>
            <w:t>25</w:t>
          </w:r>
          <w:r>
            <w:fldChar w:fldCharType="end"/>
          </w:r>
          <w:r>
            <w:fldChar w:fldCharType="end"/>
          </w:r>
        </w:p>
        <w:p>
          <w:pPr>
            <w:pStyle w:val="12"/>
            <w:rPr>
              <w:rFonts w:asciiTheme="minorHAnsi" w:hAnsiTheme="minorHAnsi" w:eastAsiaTheme="minorEastAsia"/>
              <w:b w:val="0"/>
              <w:bCs w:val="0"/>
              <w:sz w:val="21"/>
            </w:rPr>
          </w:pPr>
          <w:r>
            <w:fldChar w:fldCharType="begin"/>
          </w:r>
          <w:r>
            <w:instrText xml:space="preserve"> HYPERLINK \l "_Toc65597718" </w:instrText>
          </w:r>
          <w:r>
            <w:fldChar w:fldCharType="separate"/>
          </w:r>
          <w:r>
            <w:rPr>
              <w:rStyle w:val="20"/>
            </w:rPr>
            <w:t>六、绩效自评结果拟应用和公开情况</w:t>
          </w:r>
          <w:r>
            <w:tab/>
          </w:r>
          <w:r>
            <w:fldChar w:fldCharType="begin"/>
          </w:r>
          <w:r>
            <w:instrText xml:space="preserve"> PAGEREF _Toc65597718 \h </w:instrText>
          </w:r>
          <w:r>
            <w:fldChar w:fldCharType="separate"/>
          </w:r>
          <w:r>
            <w:t>26</w:t>
          </w:r>
          <w:r>
            <w:fldChar w:fldCharType="end"/>
          </w:r>
          <w:r>
            <w:fldChar w:fldCharType="end"/>
          </w:r>
        </w:p>
        <w:p>
          <w:pPr>
            <w:pStyle w:val="12"/>
            <w:rPr>
              <w:rFonts w:asciiTheme="minorHAnsi" w:hAnsiTheme="minorHAnsi" w:eastAsiaTheme="minorEastAsia"/>
              <w:b w:val="0"/>
              <w:bCs w:val="0"/>
              <w:sz w:val="21"/>
            </w:rPr>
          </w:pPr>
          <w:r>
            <w:fldChar w:fldCharType="begin"/>
          </w:r>
          <w:r>
            <w:instrText xml:space="preserve"> HYPERLINK \l "_Toc65597719" </w:instrText>
          </w:r>
          <w:r>
            <w:fldChar w:fldCharType="separate"/>
          </w:r>
          <w:r>
            <w:rPr>
              <w:rStyle w:val="20"/>
            </w:rPr>
            <w:t>七、其他需要说明的问题</w:t>
          </w:r>
          <w:r>
            <w:tab/>
          </w:r>
          <w:r>
            <w:fldChar w:fldCharType="begin"/>
          </w:r>
          <w:r>
            <w:instrText xml:space="preserve"> PAGEREF _Toc65597719 \h </w:instrText>
          </w:r>
          <w:r>
            <w:fldChar w:fldCharType="separate"/>
          </w:r>
          <w:r>
            <w:t>26</w:t>
          </w:r>
          <w:r>
            <w:fldChar w:fldCharType="end"/>
          </w:r>
          <w:r>
            <w:fldChar w:fldCharType="end"/>
          </w:r>
        </w:p>
        <w:p>
          <w:pPr>
            <w:ind w:firstLine="0" w:firstLineChars="0"/>
          </w:pPr>
          <w:r>
            <w:fldChar w:fldCharType="end"/>
          </w:r>
        </w:p>
      </w:sdtContent>
    </w:sdt>
    <w:p>
      <w:pPr>
        <w:widowControl/>
        <w:ind w:firstLine="643"/>
        <w:jc w:val="left"/>
        <w:rPr>
          <w:rFonts w:hAnsi="宋体"/>
          <w:b/>
          <w:bCs/>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1"/>
          <w:cols w:space="425" w:num="1"/>
          <w:docGrid w:type="lines" w:linePitch="381" w:charSpace="0"/>
        </w:sectPr>
      </w:pPr>
      <w:r>
        <w:rPr>
          <w:rFonts w:ascii="宋体" w:hAnsi="宋体" w:eastAsia="宋体"/>
          <w:b/>
          <w:bCs/>
          <w:sz w:val="32"/>
          <w:szCs w:val="32"/>
        </w:rPr>
        <w:br w:type="page"/>
      </w:r>
      <w:bookmarkStart w:id="0" w:name="_Toc40046020"/>
    </w:p>
    <w:p>
      <w:pPr>
        <w:pStyle w:val="2"/>
      </w:pPr>
      <w:bookmarkStart w:id="1" w:name="_Toc65597704"/>
      <w:r>
        <w:rPr>
          <w:rFonts w:hint="eastAsia"/>
        </w:rPr>
        <w:t>一、基本情况</w:t>
      </w:r>
      <w:bookmarkEnd w:id="0"/>
      <w:bookmarkEnd w:id="1"/>
    </w:p>
    <w:p>
      <w:pPr>
        <w:pStyle w:val="3"/>
        <w:ind w:firstLine="643"/>
      </w:pPr>
      <w:bookmarkStart w:id="2" w:name="_Toc40046021"/>
      <w:bookmarkStart w:id="3" w:name="_Toc65597705"/>
      <w:r>
        <w:rPr>
          <w:rFonts w:hint="eastAsia"/>
        </w:rPr>
        <w:t>（一）部门主要职能</w:t>
      </w:r>
      <w:bookmarkEnd w:id="2"/>
      <w:bookmarkEnd w:id="3"/>
    </w:p>
    <w:p>
      <w:pPr>
        <w:ind w:firstLine="560"/>
        <w:rPr>
          <w:szCs w:val="28"/>
        </w:rPr>
      </w:pPr>
      <w:r>
        <w:rPr>
          <w:rFonts w:hint="eastAsia"/>
          <w:szCs w:val="28"/>
        </w:rPr>
        <w:t>中国民主同盟甘肃省委员会是全省民盟组织的领导机关，受中共甘肃省委和民盟中央的双重领导。其主要职责是:</w:t>
      </w:r>
    </w:p>
    <w:p>
      <w:pPr>
        <w:ind w:firstLine="560"/>
        <w:rPr>
          <w:szCs w:val="28"/>
        </w:rPr>
      </w:pPr>
      <w:r>
        <w:rPr>
          <w:szCs w:val="28"/>
        </w:rPr>
        <w:t>1</w:t>
      </w:r>
      <w:r>
        <w:rPr>
          <w:rFonts w:hint="eastAsia"/>
          <w:szCs w:val="28"/>
        </w:rPr>
        <w:t>、坚持中国共产党领导的多党合作和政治协商制度，贯彻执行“长期共存，互相监督，肝胆相照，荣辱与共”的方针，参与我省大政方针和政府领导人选的协商，参与有关方针政策、法律法规的制定执行，积极发挥参政议政和民主监督作用。</w:t>
      </w:r>
    </w:p>
    <w:p>
      <w:pPr>
        <w:ind w:firstLine="560"/>
        <w:rPr>
          <w:szCs w:val="28"/>
        </w:rPr>
      </w:pPr>
      <w:r>
        <w:rPr>
          <w:szCs w:val="28"/>
        </w:rPr>
        <w:t>2</w:t>
      </w:r>
      <w:r>
        <w:rPr>
          <w:rFonts w:hint="eastAsia"/>
          <w:szCs w:val="28"/>
        </w:rPr>
        <w:t>、遵循建设有中国特色社会主义理论，坚定不移地贯彻“以经济建设为中心，坚持四项基本原则，坚持改革开放”的基本路线。为巩固和发展我省安定团结的政治局面服务，为推进我省社会主义现代化建设和改革开放服务，为健全社会主义民主和法制服务，努力促进社会主义市场经济体制的建立和完善，促进政治体制改革和其他领域改革。</w:t>
      </w:r>
    </w:p>
    <w:p>
      <w:pPr>
        <w:ind w:firstLine="560"/>
        <w:rPr>
          <w:szCs w:val="28"/>
        </w:rPr>
      </w:pPr>
      <w:r>
        <w:rPr>
          <w:szCs w:val="28"/>
        </w:rPr>
        <w:t>3</w:t>
      </w:r>
      <w:r>
        <w:rPr>
          <w:rFonts w:hint="eastAsia"/>
          <w:szCs w:val="28"/>
        </w:rPr>
        <w:t>、贯彻科教兴国战略和可持续发展战略，在参加社会主义物质文明和精神文明建设的实践中，为提高全省人民素质、发展我省文化教育水平和科学技术水平而努力，推进决策科学化、民主化，为增强我省综合实力和各族人民的共同富裕而努力。</w:t>
      </w:r>
    </w:p>
    <w:p>
      <w:pPr>
        <w:ind w:firstLine="560"/>
        <w:rPr>
          <w:szCs w:val="28"/>
        </w:rPr>
      </w:pPr>
      <w:r>
        <w:rPr>
          <w:szCs w:val="28"/>
        </w:rPr>
        <w:t>4</w:t>
      </w:r>
      <w:r>
        <w:rPr>
          <w:rFonts w:hint="eastAsia"/>
          <w:szCs w:val="28"/>
        </w:rPr>
        <w:t>、反对任何分裂祖国的企图和行动，促进祖国统一，努力发展海峡两岸关系。加强与台湾同胞、港澳同胞和海外侨胞的交往与合作。</w:t>
      </w:r>
    </w:p>
    <w:p>
      <w:pPr>
        <w:ind w:firstLine="560"/>
        <w:rPr>
          <w:szCs w:val="28"/>
        </w:rPr>
      </w:pPr>
      <w:r>
        <w:rPr>
          <w:szCs w:val="28"/>
        </w:rPr>
        <w:t>5</w:t>
      </w:r>
      <w:r>
        <w:rPr>
          <w:rFonts w:hint="eastAsia"/>
          <w:szCs w:val="28"/>
        </w:rPr>
        <w:t>、不断加强我省民盟组织的思想建设、组织建设和领导班子建设。完善参政党机制，提高全省盟员的素质，发挥群体作用，增强参政议政能力。</w:t>
      </w:r>
    </w:p>
    <w:p>
      <w:pPr>
        <w:widowControl/>
        <w:ind w:firstLine="560"/>
        <w:jc w:val="left"/>
        <w:rPr>
          <w:rFonts w:hAnsi="宋体" w:cs="宋体"/>
          <w:kern w:val="0"/>
          <w:szCs w:val="28"/>
        </w:rPr>
      </w:pPr>
      <w:r>
        <w:rPr>
          <w:szCs w:val="28"/>
        </w:rPr>
        <w:t>6</w:t>
      </w:r>
      <w:r>
        <w:rPr>
          <w:rFonts w:hint="eastAsia"/>
          <w:szCs w:val="28"/>
        </w:rPr>
        <w:t>、发扬自我教育的优良传统，加强政治思想工作，推动全省盟员学习建设有中国特色社会主义理论，巩固和</w:t>
      </w:r>
      <w:r>
        <w:rPr>
          <w:rFonts w:hint="eastAsia" w:hAnsi="宋体" w:cs="宋体"/>
          <w:kern w:val="0"/>
          <w:szCs w:val="28"/>
        </w:rPr>
        <w:t>发展爱国统一战线，坚定社会主义信念。</w:t>
      </w:r>
    </w:p>
    <w:p>
      <w:pPr>
        <w:ind w:firstLine="560"/>
        <w:rPr>
          <w:rFonts w:hAnsi="宋体"/>
          <w:szCs w:val="28"/>
        </w:rPr>
      </w:pPr>
      <w:r>
        <w:rPr>
          <w:rFonts w:hAnsi="宋体" w:cs="宋体"/>
          <w:kern w:val="0"/>
          <w:szCs w:val="28"/>
        </w:rPr>
        <w:t>7</w:t>
      </w:r>
      <w:r>
        <w:rPr>
          <w:rFonts w:hint="eastAsia" w:hAnsi="宋体" w:cs="宋体"/>
          <w:kern w:val="0"/>
          <w:szCs w:val="28"/>
        </w:rPr>
        <w:t>、反映盟员和所联系的知识分子的意见和要求，维护其合法权益,调动他们为社会主义建设服务的积极性，充分发挥他们在改革开放和现代化建设中的重要作用</w:t>
      </w:r>
      <w:r>
        <w:rPr>
          <w:rFonts w:hint="eastAsia" w:hAnsi="宋体"/>
          <w:szCs w:val="28"/>
        </w:rPr>
        <w:t>。</w:t>
      </w:r>
    </w:p>
    <w:p>
      <w:pPr>
        <w:pStyle w:val="3"/>
        <w:ind w:firstLine="643"/>
      </w:pPr>
      <w:bookmarkStart w:id="4" w:name="_Toc65597706"/>
      <w:bookmarkStart w:id="5" w:name="_Toc40046022"/>
      <w:r>
        <w:rPr>
          <w:rFonts w:hint="eastAsia"/>
        </w:rPr>
        <w:t>（二）内设机构及所属单位概况</w:t>
      </w:r>
      <w:bookmarkEnd w:id="4"/>
      <w:bookmarkEnd w:id="5"/>
    </w:p>
    <w:p>
      <w:pPr>
        <w:widowControl/>
        <w:ind w:firstLine="560"/>
        <w:jc w:val="left"/>
        <w:rPr>
          <w:rFonts w:hAnsi="宋体" w:cs="宋体"/>
          <w:kern w:val="0"/>
          <w:szCs w:val="28"/>
        </w:rPr>
      </w:pPr>
      <w:r>
        <w:rPr>
          <w:rFonts w:hint="eastAsia" w:hAnsi="宋体" w:cs="宋体"/>
          <w:kern w:val="0"/>
          <w:szCs w:val="28"/>
        </w:rPr>
        <w:t>根据上述职责，民盟甘肃省委机关内设7个工作部门。</w:t>
      </w:r>
    </w:p>
    <w:p>
      <w:pPr>
        <w:widowControl/>
        <w:ind w:firstLine="560"/>
        <w:jc w:val="left"/>
        <w:rPr>
          <w:rFonts w:hAnsi="宋体" w:cs="宋体"/>
          <w:kern w:val="0"/>
          <w:szCs w:val="28"/>
        </w:rPr>
      </w:pPr>
      <w:r>
        <w:rPr>
          <w:rFonts w:hAnsi="宋体" w:cs="宋体"/>
          <w:kern w:val="0"/>
          <w:szCs w:val="28"/>
        </w:rPr>
        <w:t>1</w:t>
      </w:r>
      <w:r>
        <w:rPr>
          <w:rFonts w:hint="eastAsia" w:hAnsi="宋体" w:cs="宋体"/>
          <w:kern w:val="0"/>
          <w:szCs w:val="28"/>
        </w:rPr>
        <w:t>、办公室</w:t>
      </w:r>
    </w:p>
    <w:p>
      <w:pPr>
        <w:widowControl/>
        <w:ind w:firstLine="560"/>
        <w:jc w:val="left"/>
        <w:rPr>
          <w:rFonts w:hAnsi="宋体" w:cs="宋体"/>
          <w:kern w:val="0"/>
          <w:szCs w:val="28"/>
        </w:rPr>
      </w:pPr>
      <w:r>
        <w:rPr>
          <w:rFonts w:hint="eastAsia" w:hAnsi="宋体" w:cs="宋体"/>
          <w:kern w:val="0"/>
          <w:szCs w:val="28"/>
        </w:rPr>
        <w:t>组织协调机关日常政务工作，督促民盟甘肃省委主要决定、决议等事项的落实。综合拟定民盟甘肃省委年度工作计划、总结和有关报告。协助领导对有关工作进行协调，收集和反馈有关信息。负责各种文件、报刊、资料、档案等各项工作的管理和机关印鉴、介绍信的使用和管理。编制、执行机关财政经费的预算、决算，管理机关财产和办公设施，监督审核和处理日常各项财务开支。负责机关综合性对外联络、接待、信访、会务、车辆与交通等后勤服务。管理民盟甘肃省委机关的人事、工资和离退休人员。协助管理全省民盟专职干部。负责机关安全、保卫、绿化、卫生、计划生育等社区社会工作。</w:t>
      </w:r>
    </w:p>
    <w:p>
      <w:pPr>
        <w:widowControl/>
        <w:ind w:firstLine="560"/>
        <w:jc w:val="left"/>
        <w:rPr>
          <w:rFonts w:hAnsi="宋体" w:cs="宋体"/>
          <w:kern w:val="0"/>
          <w:szCs w:val="28"/>
        </w:rPr>
      </w:pPr>
      <w:r>
        <w:rPr>
          <w:rFonts w:hAnsi="宋体" w:cs="宋体"/>
          <w:kern w:val="0"/>
          <w:szCs w:val="28"/>
        </w:rPr>
        <w:t>2</w:t>
      </w:r>
      <w:r>
        <w:rPr>
          <w:rFonts w:hint="eastAsia" w:hAnsi="宋体" w:cs="宋体"/>
          <w:kern w:val="0"/>
          <w:szCs w:val="28"/>
        </w:rPr>
        <w:t>、组织部</w:t>
      </w:r>
    </w:p>
    <w:p>
      <w:pPr>
        <w:widowControl/>
        <w:ind w:firstLine="560"/>
        <w:jc w:val="left"/>
        <w:rPr>
          <w:rFonts w:hAnsi="宋体" w:cs="宋体"/>
          <w:kern w:val="0"/>
          <w:szCs w:val="28"/>
        </w:rPr>
      </w:pPr>
      <w:r>
        <w:rPr>
          <w:rFonts w:hint="eastAsia" w:hAnsi="宋体" w:cs="宋体"/>
          <w:kern w:val="0"/>
          <w:szCs w:val="28"/>
        </w:rPr>
        <w:t>提出民盟甘肃省委组织工作年度计划，完成中共甘肃省委、民盟中央及民盟甘肃省委的各项组织工作任务，总结、汇报组织工作的情况。负责民盟甘肃省委换届改选的人事工作及省内地方组织和省直基层组织的换届改选工作;提出省内地方组织和省直基层组织的撤并、建立的意见和建议;负责后备干部队伍的建立及考察培养、选拔推荐;负责民盟专职干部、基层干部和新盟员的培训。指导全省地方和基层组织的组织工作，调查研究民盟的组织建设动态，总结推广经验，反映和解决组织建设中存在的问题。建立和管理全省盟员盟籍及组织档案。负责全省盟员的奖励与处分工作。督促和协助有关部门落实盟员的有关政策。负责民盟甘肃省委机关干部联系基层的工作。</w:t>
      </w:r>
    </w:p>
    <w:p>
      <w:pPr>
        <w:widowControl/>
        <w:ind w:firstLine="560"/>
        <w:jc w:val="left"/>
        <w:rPr>
          <w:rFonts w:hAnsi="宋体" w:cs="宋体"/>
          <w:kern w:val="0"/>
          <w:szCs w:val="28"/>
        </w:rPr>
      </w:pPr>
      <w:r>
        <w:rPr>
          <w:rFonts w:hAnsi="宋体" w:cs="宋体"/>
          <w:kern w:val="0"/>
          <w:szCs w:val="28"/>
        </w:rPr>
        <w:t>3</w:t>
      </w:r>
      <w:r>
        <w:rPr>
          <w:rFonts w:hint="eastAsia" w:hAnsi="宋体" w:cs="宋体"/>
          <w:kern w:val="0"/>
          <w:szCs w:val="28"/>
        </w:rPr>
        <w:t>、宣传部</w:t>
      </w:r>
    </w:p>
    <w:p>
      <w:pPr>
        <w:widowControl/>
        <w:ind w:firstLine="560"/>
        <w:jc w:val="left"/>
        <w:rPr>
          <w:rFonts w:hAnsi="宋体" w:cs="宋体"/>
          <w:kern w:val="0"/>
          <w:szCs w:val="28"/>
        </w:rPr>
      </w:pPr>
      <w:r>
        <w:rPr>
          <w:rFonts w:hint="eastAsia" w:hAnsi="宋体" w:cs="宋体"/>
          <w:kern w:val="0"/>
          <w:szCs w:val="28"/>
        </w:rPr>
        <w:t>提出民盟甘肃省委宣传工作的年度计划，完成中共甘肃省委、民盟中央及民盟甘肃省委的各项宣传工作任务，总结、汇报宣传工作的情况。指导和推动全省盟员的政治学习，做好全省盟员的思想政治工作。负责全省民盟组织的统战理论研讨工作，编辑出版《甘肃盟讯》及其它有关学习宣传材料。负责民盟甘肃省委中心学习小组的学习，组织、指导、推动、总结全省各级民盟组织的宣传工作，交流思想政治工作经验，宣传先进人物和先进事迹，并做好民盟甘肃省委的对外宣传。负责全省盟员中的“三胞”工作。</w:t>
      </w:r>
    </w:p>
    <w:p>
      <w:pPr>
        <w:widowControl/>
        <w:ind w:firstLine="560"/>
        <w:jc w:val="left"/>
        <w:rPr>
          <w:rFonts w:hAnsi="宋体" w:cs="宋体"/>
          <w:kern w:val="0"/>
          <w:szCs w:val="28"/>
        </w:rPr>
      </w:pPr>
      <w:r>
        <w:rPr>
          <w:rFonts w:hAnsi="宋体" w:cs="宋体"/>
          <w:kern w:val="0"/>
          <w:szCs w:val="28"/>
        </w:rPr>
        <w:t>4</w:t>
      </w:r>
      <w:r>
        <w:rPr>
          <w:rFonts w:hint="eastAsia" w:hAnsi="宋体" w:cs="宋体"/>
          <w:kern w:val="0"/>
          <w:szCs w:val="28"/>
        </w:rPr>
        <w:t>、社会服务部</w:t>
      </w:r>
    </w:p>
    <w:p>
      <w:pPr>
        <w:widowControl/>
        <w:ind w:firstLine="560"/>
        <w:jc w:val="left"/>
        <w:rPr>
          <w:rFonts w:hAnsi="宋体" w:cs="宋体"/>
          <w:kern w:val="0"/>
          <w:szCs w:val="28"/>
        </w:rPr>
      </w:pPr>
      <w:r>
        <w:rPr>
          <w:rFonts w:hint="eastAsia" w:hAnsi="宋体" w:cs="宋体"/>
          <w:kern w:val="0"/>
          <w:szCs w:val="28"/>
        </w:rPr>
        <w:t>提出民盟甘肃省委社会服务工作的计划，完成中共甘肃省委、民盟中央及民盟甘肃省委的各项社会服务工作任务，总结、汇报社会服务工作的情况。与省政府有关职能部门对口联系，开展教育、科技、医疗等方面的扶贫工作。与兄弟省市民盟组织联系，开展对“老、少、边、穷”地区的教育、科技、医疗等智力扶贫。组织、推动、指导各级民盟组织开展多种形式的社会服务工作。对各种有偿服务工作进行管理。</w:t>
      </w:r>
    </w:p>
    <w:p>
      <w:pPr>
        <w:widowControl/>
        <w:ind w:firstLine="560"/>
        <w:jc w:val="left"/>
        <w:rPr>
          <w:rFonts w:hAnsi="宋体" w:cs="宋体"/>
          <w:kern w:val="0"/>
          <w:szCs w:val="28"/>
        </w:rPr>
      </w:pPr>
      <w:r>
        <w:rPr>
          <w:rFonts w:hAnsi="宋体" w:cs="宋体"/>
          <w:kern w:val="0"/>
          <w:szCs w:val="28"/>
        </w:rPr>
        <w:t>5</w:t>
      </w:r>
      <w:r>
        <w:rPr>
          <w:rFonts w:hint="eastAsia" w:hAnsi="宋体" w:cs="宋体"/>
          <w:kern w:val="0"/>
          <w:szCs w:val="28"/>
        </w:rPr>
        <w:t>、研究室</w:t>
      </w:r>
    </w:p>
    <w:p>
      <w:pPr>
        <w:widowControl/>
        <w:ind w:firstLine="560"/>
        <w:jc w:val="left"/>
        <w:rPr>
          <w:rFonts w:hAnsi="宋体" w:cs="宋体"/>
          <w:kern w:val="0"/>
          <w:szCs w:val="28"/>
        </w:rPr>
      </w:pPr>
      <w:r>
        <w:rPr>
          <w:rFonts w:hint="eastAsia" w:hAnsi="宋体" w:cs="宋体"/>
          <w:kern w:val="0"/>
          <w:szCs w:val="28"/>
        </w:rPr>
        <w:t>提出民盟甘肃省委研究室年度工作计划，完成中共甘肃省委、民盟中央及民盟甘肃省委的各项有关工作任务，总结、汇报工作情况。收集有关资料并进行研究，协助起草有关文件。协助各工作委员会拟定参政议政调查研究课题和提案、发言内容。聘请盟内有关专家教授作兼职研究员，组织以他们为主的调查研究活动。联系担任各级政府实职、省级部门四大员及省政协委员的盟员，了解情况，掌握信息，反映问题。参与省政府有关部门的对联系工作。</w:t>
      </w:r>
    </w:p>
    <w:p>
      <w:pPr>
        <w:widowControl/>
        <w:spacing w:line="360" w:lineRule="auto"/>
        <w:ind w:firstLine="560"/>
        <w:jc w:val="left"/>
        <w:rPr>
          <w:rFonts w:hint="eastAsia" w:ascii="仿宋_GB2312" w:hAnsi="宋体" w:eastAsia="仿宋_GB2312" w:cs="宋体"/>
          <w:kern w:val="0"/>
          <w:sz w:val="28"/>
          <w:szCs w:val="28"/>
          <w:lang w:val="en-US" w:eastAsia="zh-CN"/>
        </w:rPr>
      </w:pPr>
      <w:r>
        <w:rPr>
          <w:rFonts w:ascii="仿宋_GB2312" w:hAnsi="宋体" w:eastAsia="仿宋_GB2312" w:cs="宋体"/>
          <w:kern w:val="0"/>
          <w:sz w:val="28"/>
          <w:szCs w:val="28"/>
        </w:rPr>
        <w:t>6</w:t>
      </w:r>
      <w:r>
        <w:rPr>
          <w:rFonts w:hint="eastAsia" w:ascii="仿宋_GB2312" w:hAnsi="宋体" w:eastAsia="仿宋_GB2312" w:cs="宋体"/>
          <w:kern w:val="0"/>
          <w:sz w:val="28"/>
          <w:szCs w:val="28"/>
        </w:rPr>
        <w:t>、</w:t>
      </w:r>
      <w:r>
        <w:rPr>
          <w:rFonts w:hint="eastAsia" w:ascii="仿宋_GB2312" w:hAnsi="宋体" w:eastAsia="仿宋_GB2312" w:cs="宋体"/>
          <w:kern w:val="0"/>
          <w:sz w:val="28"/>
          <w:szCs w:val="28"/>
          <w:lang w:eastAsia="zh-CN"/>
        </w:rPr>
        <w:t>参政议政部</w:t>
      </w:r>
    </w:p>
    <w:p>
      <w:pPr>
        <w:widowControl/>
        <w:spacing w:line="360" w:lineRule="auto"/>
        <w:ind w:firstLine="560"/>
        <w:jc w:val="left"/>
        <w:rPr>
          <w:rFonts w:hint="eastAsia" w:ascii="仿宋_GB2312" w:hAnsi="宋体" w:eastAsia="仿宋_GB2312" w:cs="宋体"/>
          <w:kern w:val="0"/>
          <w:sz w:val="28"/>
          <w:szCs w:val="28"/>
          <w:lang w:eastAsia="zh-CN"/>
        </w:rPr>
      </w:pPr>
      <w:r>
        <w:rPr>
          <w:rFonts w:hint="eastAsia" w:ascii="仿宋_GB2312" w:hAnsi="宋体" w:eastAsia="仿宋_GB2312" w:cs="宋体"/>
          <w:kern w:val="0"/>
          <w:sz w:val="28"/>
          <w:szCs w:val="28"/>
        </w:rPr>
        <w:t>提出年度工作计划，召开</w:t>
      </w:r>
      <w:r>
        <w:rPr>
          <w:rFonts w:hint="eastAsia" w:ascii="仿宋_GB2312" w:hAnsi="宋体" w:eastAsia="仿宋_GB2312" w:cs="宋体"/>
          <w:kern w:val="0"/>
          <w:sz w:val="28"/>
          <w:szCs w:val="28"/>
          <w:lang w:eastAsia="zh-CN"/>
        </w:rPr>
        <w:t>参政议政</w:t>
      </w:r>
      <w:r>
        <w:rPr>
          <w:rFonts w:hint="eastAsia" w:ascii="仿宋_GB2312" w:hAnsi="宋体" w:eastAsia="仿宋_GB2312" w:cs="宋体"/>
          <w:kern w:val="0"/>
          <w:sz w:val="28"/>
          <w:szCs w:val="28"/>
        </w:rPr>
        <w:t>工作会议，完成会议确定的各项任务，总结、汇报工作情况。</w:t>
      </w:r>
      <w:r>
        <w:rPr>
          <w:rFonts w:hint="eastAsia" w:ascii="仿宋_GB2312" w:hAnsi="宋体" w:eastAsia="仿宋_GB2312" w:cs="宋体"/>
          <w:kern w:val="0"/>
          <w:sz w:val="28"/>
          <w:szCs w:val="28"/>
          <w:lang w:eastAsia="zh-CN"/>
        </w:rPr>
        <w:t>组织全省各级盟组织和广大盟员，围绕省委、省政府中心工作，开展调查研究，提出有针对性地意见和建议，为省委、省政府决策提供参考；根据省委政党协商年度计划安排，组织开展调研，参加省委政党协商和政协协商，并提出意见和建议；发挥盟员联系广泛的优势，调动盟员议政建议的积极性，反映社情民意。</w:t>
      </w:r>
    </w:p>
    <w:p>
      <w:pPr>
        <w:widowControl/>
        <w:ind w:firstLine="560"/>
        <w:jc w:val="left"/>
        <w:rPr>
          <w:rFonts w:hAnsi="宋体" w:cs="宋体"/>
          <w:kern w:val="0"/>
          <w:szCs w:val="28"/>
        </w:rPr>
      </w:pPr>
      <w:r>
        <w:rPr>
          <w:rFonts w:hAnsi="宋体" w:cs="宋体"/>
          <w:kern w:val="0"/>
          <w:szCs w:val="28"/>
        </w:rPr>
        <w:t>7</w:t>
      </w:r>
      <w:r>
        <w:rPr>
          <w:rFonts w:hint="eastAsia" w:hAnsi="宋体" w:cs="宋体"/>
          <w:kern w:val="0"/>
          <w:szCs w:val="28"/>
        </w:rPr>
        <w:t>、妇女工作委员会</w:t>
      </w:r>
    </w:p>
    <w:p>
      <w:pPr>
        <w:ind w:firstLine="560"/>
        <w:rPr>
          <w:rFonts w:hAnsi="宋体"/>
          <w:szCs w:val="28"/>
        </w:rPr>
      </w:pPr>
      <w:r>
        <w:rPr>
          <w:rFonts w:hint="eastAsia" w:hAnsi="宋体" w:cs="宋体"/>
          <w:kern w:val="0"/>
          <w:szCs w:val="28"/>
        </w:rPr>
        <w:t>提出年度工作计划，召开工作委员会会议，完成会议确定的各项任务，总结、汇报工作情况。组织、推动女盟员的政治学习，鼓励女盟员参政议攻。了解掌握女盟员的专业知识、种研成果、论文著作等情况，建立人才相案。组织开展有关妇女儿童权益保障的学习、宣传和社会调研活。组织面向社会的专题报告、学术讨论等有关妇女进步事业的理论研讨活动。鼓励女盟员在做好岗位工作的同时积极参加精神文明建设</w:t>
      </w:r>
      <w:r>
        <w:rPr>
          <w:rFonts w:hint="eastAsia" w:hAnsi="宋体"/>
          <w:szCs w:val="28"/>
        </w:rPr>
        <w:t>。</w:t>
      </w:r>
    </w:p>
    <w:p>
      <w:pPr>
        <w:widowControl/>
        <w:ind w:firstLine="560"/>
        <w:jc w:val="left"/>
        <w:rPr>
          <w:rFonts w:hAnsi="宋体" w:cs="宋体"/>
          <w:kern w:val="0"/>
          <w:szCs w:val="28"/>
        </w:rPr>
      </w:pPr>
      <w:r>
        <w:rPr>
          <w:rFonts w:hint="eastAsia" w:hAnsi="宋体" w:cs="宋体"/>
          <w:kern w:val="0"/>
          <w:szCs w:val="28"/>
        </w:rPr>
        <w:t>民盟甘肃省委机关行政编制为47名。其中，专职主任委员1名，专职副主任委员1名，秘书长1名(正处级)，处级领导职数11名。</w:t>
      </w:r>
    </w:p>
    <w:p>
      <w:pPr>
        <w:pStyle w:val="2"/>
      </w:pPr>
      <w:bookmarkStart w:id="6" w:name="_Toc40046023"/>
      <w:bookmarkStart w:id="7" w:name="_Toc65597707"/>
      <w:r>
        <w:rPr>
          <w:rFonts w:hint="eastAsia"/>
        </w:rPr>
        <w:t>二、绩效自评工作组织开展情况</w:t>
      </w:r>
      <w:bookmarkEnd w:id="6"/>
      <w:bookmarkEnd w:id="7"/>
    </w:p>
    <w:p>
      <w:pPr>
        <w:pStyle w:val="3"/>
        <w:spacing w:before="0" w:after="0"/>
        <w:ind w:firstLine="562"/>
        <w:rPr>
          <w:rFonts w:ascii="仿宋_GB2312" w:hAnsi="仿宋" w:eastAsia="仿宋_GB2312"/>
          <w:sz w:val="28"/>
          <w:szCs w:val="28"/>
        </w:rPr>
      </w:pPr>
      <w:bookmarkStart w:id="8" w:name="_Toc39825246"/>
      <w:bookmarkStart w:id="9" w:name="_Toc65597708"/>
      <w:bookmarkStart w:id="10" w:name="_Toc40800044"/>
      <w:r>
        <w:rPr>
          <w:rFonts w:hint="eastAsia" w:ascii="仿宋_GB2312" w:hAnsi="仿宋" w:eastAsia="仿宋_GB2312"/>
          <w:sz w:val="28"/>
          <w:szCs w:val="28"/>
        </w:rPr>
        <w:t>（一）自评对象和范围</w:t>
      </w:r>
      <w:bookmarkEnd w:id="8"/>
      <w:bookmarkEnd w:id="9"/>
      <w:bookmarkEnd w:id="10"/>
    </w:p>
    <w:p>
      <w:pPr>
        <w:ind w:firstLine="560"/>
        <w:rPr>
          <w:rFonts w:hAnsi="仿宋"/>
          <w:szCs w:val="32"/>
        </w:rPr>
      </w:pPr>
      <w:r>
        <w:rPr>
          <w:rFonts w:hint="eastAsia" w:hAnsi="仿宋"/>
          <w:szCs w:val="32"/>
        </w:rPr>
        <w:t>根据</w:t>
      </w:r>
      <w:r>
        <w:rPr>
          <w:rFonts w:hint="eastAsia" w:hAnsi="宋体"/>
          <w:szCs w:val="28"/>
        </w:rPr>
        <w:t>《甘肃省财政厅关于开展</w:t>
      </w:r>
      <w:r>
        <w:rPr>
          <w:rFonts w:hAnsi="宋体"/>
          <w:szCs w:val="28"/>
        </w:rPr>
        <w:t>202</w:t>
      </w:r>
      <w:r>
        <w:rPr>
          <w:rFonts w:hint="eastAsia" w:hAnsi="宋体"/>
          <w:szCs w:val="28"/>
          <w:lang w:val="en-US" w:eastAsia="zh-CN"/>
        </w:rPr>
        <w:t>1</w:t>
      </w:r>
      <w:r>
        <w:rPr>
          <w:rFonts w:hAnsi="宋体"/>
          <w:szCs w:val="28"/>
        </w:rPr>
        <w:t>年度省级预算执行情况绩效</w:t>
      </w:r>
      <w:r>
        <w:rPr>
          <w:rFonts w:hint="eastAsia" w:hAnsi="宋体"/>
          <w:szCs w:val="28"/>
        </w:rPr>
        <w:t>单位自评</w:t>
      </w:r>
      <w:r>
        <w:rPr>
          <w:rFonts w:hAnsi="宋体"/>
          <w:szCs w:val="28"/>
        </w:rPr>
        <w:t>工作的通知》（甘财绩〔202</w:t>
      </w:r>
      <w:r>
        <w:rPr>
          <w:rFonts w:hint="eastAsia" w:hAnsi="宋体"/>
          <w:szCs w:val="28"/>
          <w:lang w:val="en-US" w:eastAsia="zh-CN"/>
        </w:rPr>
        <w:t>1</w:t>
      </w:r>
      <w:r>
        <w:rPr>
          <w:rFonts w:hAnsi="宋体"/>
          <w:szCs w:val="28"/>
        </w:rPr>
        <w:t>〕</w:t>
      </w:r>
      <w:r>
        <w:rPr>
          <w:rFonts w:hint="eastAsia" w:hAnsi="宋体"/>
          <w:szCs w:val="28"/>
          <w:lang w:val="en-US" w:eastAsia="zh-CN"/>
        </w:rPr>
        <w:t>8</w:t>
      </w:r>
      <w:r>
        <w:rPr>
          <w:rFonts w:hAnsi="宋体"/>
          <w:szCs w:val="28"/>
        </w:rPr>
        <w:t>号）</w:t>
      </w:r>
      <w:r>
        <w:rPr>
          <w:rFonts w:hint="eastAsia" w:hAnsi="仿宋"/>
          <w:szCs w:val="32"/>
        </w:rPr>
        <w:t>文对于本次预算绩效自评价的要求，按照省级部门项目支出、省对市县转移支付、部门（单位）整体支出三类评价对象全覆盖的原则，因我单位20</w:t>
      </w:r>
      <w:r>
        <w:rPr>
          <w:rFonts w:hint="eastAsia" w:hAnsi="仿宋"/>
          <w:szCs w:val="32"/>
          <w:lang w:val="en-US" w:eastAsia="zh-CN"/>
        </w:rPr>
        <w:t>21</w:t>
      </w:r>
      <w:r>
        <w:rPr>
          <w:rFonts w:hint="eastAsia" w:hAnsi="仿宋"/>
          <w:szCs w:val="32"/>
        </w:rPr>
        <w:t>年不涉及省对市县转移支付资金，结合我单位实际情况，自评价对象为中国民主同盟甘肃省委员会单位整体支出自评和“主委特别费、培训费、调研费、业务费”项目支出自评。</w:t>
      </w:r>
    </w:p>
    <w:p>
      <w:pPr>
        <w:pStyle w:val="3"/>
        <w:spacing w:before="0" w:after="0"/>
        <w:ind w:firstLine="562"/>
        <w:rPr>
          <w:rFonts w:ascii="仿宋_GB2312" w:hAnsi="仿宋" w:eastAsia="仿宋_GB2312"/>
          <w:sz w:val="28"/>
          <w:szCs w:val="28"/>
        </w:rPr>
      </w:pPr>
      <w:bookmarkStart w:id="11" w:name="_Toc65597709"/>
      <w:bookmarkStart w:id="12" w:name="_Toc39825247"/>
      <w:bookmarkStart w:id="13" w:name="_Toc40800045"/>
      <w:r>
        <w:rPr>
          <w:rFonts w:hint="eastAsia" w:ascii="仿宋_GB2312" w:hAnsi="仿宋" w:eastAsia="仿宋_GB2312"/>
          <w:sz w:val="28"/>
          <w:szCs w:val="28"/>
        </w:rPr>
        <w:t>（二）自评组织管理情况</w:t>
      </w:r>
      <w:bookmarkEnd w:id="11"/>
      <w:bookmarkEnd w:id="12"/>
      <w:bookmarkEnd w:id="13"/>
    </w:p>
    <w:p>
      <w:pPr>
        <w:ind w:firstLine="560"/>
        <w:rPr>
          <w:rFonts w:hAnsi="仿宋"/>
          <w:szCs w:val="32"/>
        </w:rPr>
      </w:pPr>
      <w:r>
        <w:rPr>
          <w:rFonts w:hint="eastAsia" w:hAnsi="仿宋"/>
          <w:szCs w:val="32"/>
        </w:rPr>
        <w:t>我单位严格按照甘财绩〔202</w:t>
      </w:r>
      <w:r>
        <w:rPr>
          <w:rFonts w:hint="eastAsia" w:hAnsi="仿宋"/>
          <w:szCs w:val="32"/>
          <w:lang w:val="en-US" w:eastAsia="zh-CN"/>
        </w:rPr>
        <w:t>1</w:t>
      </w:r>
      <w:r>
        <w:rPr>
          <w:rFonts w:hint="eastAsia" w:hAnsi="仿宋"/>
          <w:szCs w:val="32"/>
        </w:rPr>
        <w:t>〕</w:t>
      </w:r>
      <w:r>
        <w:rPr>
          <w:rFonts w:hint="eastAsia" w:hAnsi="仿宋"/>
          <w:szCs w:val="32"/>
          <w:lang w:val="en-US" w:eastAsia="zh-CN"/>
        </w:rPr>
        <w:t>8</w:t>
      </w:r>
      <w:r>
        <w:rPr>
          <w:rFonts w:hint="eastAsia" w:hAnsi="仿宋"/>
          <w:szCs w:val="32"/>
        </w:rPr>
        <w:t>号的要求积极开展本次自评工作，由财务部门进行牵头，各个相关处室协调配合，按照以下流程进行：</w:t>
      </w:r>
    </w:p>
    <w:p>
      <w:pPr>
        <w:pStyle w:val="4"/>
        <w:ind w:firstLine="562"/>
        <w:rPr>
          <w:szCs w:val="28"/>
        </w:rPr>
      </w:pPr>
      <w:bookmarkStart w:id="14" w:name="_Toc39825248"/>
      <w:r>
        <w:rPr>
          <w:rFonts w:hint="eastAsia"/>
          <w:szCs w:val="28"/>
        </w:rPr>
        <w:t>1、安排部署</w:t>
      </w:r>
      <w:bookmarkEnd w:id="14"/>
    </w:p>
    <w:p>
      <w:pPr>
        <w:ind w:firstLine="560"/>
        <w:rPr>
          <w:rFonts w:hAnsi="仿宋"/>
          <w:szCs w:val="32"/>
        </w:rPr>
      </w:pPr>
      <w:r>
        <w:rPr>
          <w:rFonts w:hint="eastAsia" w:hAnsi="宋体"/>
          <w:szCs w:val="28"/>
        </w:rPr>
        <w:t>我单位严格按照《</w:t>
      </w:r>
      <w:r>
        <w:rPr>
          <w:rFonts w:hAnsi="宋体"/>
          <w:szCs w:val="28"/>
        </w:rPr>
        <w:t>关于全面实施预算绩效管理的意见》（中发〔2018〕34号）</w:t>
      </w:r>
      <w:r>
        <w:rPr>
          <w:rFonts w:hint="eastAsia" w:hAnsi="宋体"/>
          <w:szCs w:val="28"/>
        </w:rPr>
        <w:t>、中共甘肃省委甘肃省人民政府《关于全面实施预算绩效管理的实施意见》（甘发〔</w:t>
      </w:r>
      <w:r>
        <w:rPr>
          <w:rFonts w:hAnsi="宋体"/>
          <w:szCs w:val="28"/>
        </w:rPr>
        <w:t>2018〕32号）</w:t>
      </w:r>
      <w:r>
        <w:rPr>
          <w:rFonts w:hint="eastAsia" w:hAnsi="宋体"/>
          <w:szCs w:val="28"/>
        </w:rPr>
        <w:t>、《甘肃省财政厅关于开展</w:t>
      </w:r>
      <w:r>
        <w:rPr>
          <w:rFonts w:hAnsi="宋体"/>
          <w:szCs w:val="28"/>
        </w:rPr>
        <w:t>202</w:t>
      </w:r>
      <w:r>
        <w:rPr>
          <w:rFonts w:hint="eastAsia" w:hAnsi="宋体"/>
          <w:szCs w:val="28"/>
          <w:lang w:val="en-US" w:eastAsia="zh-CN"/>
        </w:rPr>
        <w:t>1</w:t>
      </w:r>
      <w:r>
        <w:rPr>
          <w:rFonts w:hAnsi="宋体"/>
          <w:szCs w:val="28"/>
        </w:rPr>
        <w:t>年度省级预算执行情况绩效</w:t>
      </w:r>
      <w:r>
        <w:rPr>
          <w:rFonts w:hint="eastAsia" w:hAnsi="宋体"/>
          <w:szCs w:val="28"/>
        </w:rPr>
        <w:t>单位自评</w:t>
      </w:r>
      <w:r>
        <w:rPr>
          <w:rFonts w:hAnsi="宋体"/>
          <w:szCs w:val="28"/>
        </w:rPr>
        <w:t>工作的通知》（甘财绩〔202</w:t>
      </w:r>
      <w:r>
        <w:rPr>
          <w:rFonts w:hint="eastAsia" w:hAnsi="宋体"/>
          <w:szCs w:val="28"/>
          <w:lang w:val="en-US" w:eastAsia="zh-CN"/>
        </w:rPr>
        <w:t>1</w:t>
      </w:r>
      <w:r>
        <w:rPr>
          <w:rFonts w:hAnsi="宋体"/>
          <w:szCs w:val="28"/>
        </w:rPr>
        <w:t>〕</w:t>
      </w:r>
      <w:r>
        <w:rPr>
          <w:rFonts w:hint="eastAsia" w:hAnsi="宋体"/>
          <w:szCs w:val="28"/>
          <w:lang w:val="en-US" w:eastAsia="zh-CN"/>
        </w:rPr>
        <w:t>8</w:t>
      </w:r>
      <w:r>
        <w:rPr>
          <w:rFonts w:hAnsi="宋体"/>
          <w:szCs w:val="28"/>
        </w:rPr>
        <w:t>号）</w:t>
      </w:r>
      <w:r>
        <w:rPr>
          <w:rFonts w:hint="eastAsia" w:hAnsi="宋体"/>
          <w:szCs w:val="28"/>
        </w:rPr>
        <w:t>等文件要求，</w:t>
      </w:r>
      <w:r>
        <w:rPr>
          <w:rFonts w:hAnsi="宋体"/>
          <w:szCs w:val="28"/>
        </w:rPr>
        <w:t>联合各相关业务部门共同</w:t>
      </w:r>
      <w:r>
        <w:rPr>
          <w:rFonts w:hint="eastAsia" w:hAnsi="宋体"/>
          <w:szCs w:val="28"/>
        </w:rPr>
        <w:t>完成此次自评工作。</w:t>
      </w:r>
    </w:p>
    <w:p>
      <w:pPr>
        <w:pStyle w:val="4"/>
        <w:ind w:firstLine="562"/>
        <w:rPr>
          <w:szCs w:val="28"/>
        </w:rPr>
      </w:pPr>
      <w:bookmarkStart w:id="15" w:name="_Toc39825249"/>
      <w:r>
        <w:rPr>
          <w:rFonts w:hint="eastAsia"/>
          <w:szCs w:val="28"/>
        </w:rPr>
        <w:t>2、自评分析</w:t>
      </w:r>
      <w:bookmarkEnd w:id="15"/>
    </w:p>
    <w:p>
      <w:pPr>
        <w:ind w:firstLine="560"/>
        <w:rPr>
          <w:rFonts w:hAnsi="宋体"/>
          <w:szCs w:val="28"/>
        </w:rPr>
      </w:pPr>
      <w:r>
        <w:rPr>
          <w:rFonts w:hint="eastAsia" w:hAnsi="宋体"/>
          <w:szCs w:val="28"/>
        </w:rPr>
        <w:t>根据单位整体财务数据分析预算执行情况，通过各业务处室收集整理20</w:t>
      </w:r>
      <w:r>
        <w:rPr>
          <w:rFonts w:hAnsi="宋体"/>
          <w:szCs w:val="28"/>
        </w:rPr>
        <w:t>2</w:t>
      </w:r>
      <w:r>
        <w:rPr>
          <w:rFonts w:hint="eastAsia" w:hAnsi="宋体"/>
          <w:szCs w:val="28"/>
          <w:lang w:val="en-US" w:eastAsia="zh-CN"/>
        </w:rPr>
        <w:t>1</w:t>
      </w:r>
      <w:r>
        <w:rPr>
          <w:rFonts w:hint="eastAsia" w:hAnsi="宋体"/>
          <w:szCs w:val="28"/>
        </w:rPr>
        <w:t>年度重点工作实际完成的相关数据材料，与20</w:t>
      </w:r>
      <w:r>
        <w:rPr>
          <w:rFonts w:hAnsi="宋体"/>
          <w:szCs w:val="28"/>
        </w:rPr>
        <w:t>2</w:t>
      </w:r>
      <w:r>
        <w:rPr>
          <w:rFonts w:hint="eastAsia" w:hAnsi="宋体"/>
          <w:szCs w:val="28"/>
          <w:lang w:val="en-US" w:eastAsia="zh-CN"/>
        </w:rPr>
        <w:t>1</w:t>
      </w:r>
      <w:r>
        <w:rPr>
          <w:rFonts w:hint="eastAsia" w:hAnsi="宋体"/>
          <w:szCs w:val="28"/>
        </w:rPr>
        <w:t>年初的工作计划和预期目标进行对比分析，完成部门绩效自评工作。填写《</w:t>
      </w:r>
      <w:r>
        <w:rPr>
          <w:rFonts w:hAnsi="宋体"/>
          <w:szCs w:val="28"/>
        </w:rPr>
        <w:t>202</w:t>
      </w:r>
      <w:r>
        <w:rPr>
          <w:rFonts w:hint="eastAsia" w:hAnsi="宋体"/>
          <w:szCs w:val="28"/>
          <w:lang w:val="en-US" w:eastAsia="zh-CN"/>
        </w:rPr>
        <w:t>1</w:t>
      </w:r>
      <w:r>
        <w:rPr>
          <w:rFonts w:hAnsi="宋体"/>
          <w:szCs w:val="28"/>
        </w:rPr>
        <w:t>年度</w:t>
      </w:r>
      <w:r>
        <w:rPr>
          <w:rFonts w:hint="eastAsia" w:hAnsi="宋体"/>
          <w:szCs w:val="28"/>
        </w:rPr>
        <w:t>中国民主同盟甘肃省委员会</w:t>
      </w:r>
      <w:r>
        <w:rPr>
          <w:rFonts w:hAnsi="宋体"/>
          <w:szCs w:val="28"/>
        </w:rPr>
        <w:t>预算执行情况绩效单位自评表</w:t>
      </w:r>
      <w:r>
        <w:rPr>
          <w:rFonts w:hint="eastAsia" w:hAnsi="宋体"/>
          <w:szCs w:val="28"/>
        </w:rPr>
        <w:t>》，并完成《20</w:t>
      </w:r>
      <w:r>
        <w:rPr>
          <w:rFonts w:hAnsi="宋体"/>
          <w:szCs w:val="28"/>
        </w:rPr>
        <w:t>2</w:t>
      </w:r>
      <w:r>
        <w:rPr>
          <w:rFonts w:hint="eastAsia" w:hAnsi="宋体"/>
          <w:szCs w:val="28"/>
          <w:lang w:val="en-US" w:eastAsia="zh-CN"/>
        </w:rPr>
        <w:t>1</w:t>
      </w:r>
      <w:r>
        <w:rPr>
          <w:rFonts w:hint="eastAsia" w:hAnsi="宋体"/>
          <w:szCs w:val="28"/>
        </w:rPr>
        <w:t>年度中国民主同盟甘肃省委员会预算执行情况自评报告》。</w:t>
      </w:r>
    </w:p>
    <w:p>
      <w:pPr>
        <w:pStyle w:val="4"/>
        <w:ind w:firstLine="562"/>
        <w:rPr>
          <w:szCs w:val="28"/>
        </w:rPr>
      </w:pPr>
      <w:bookmarkStart w:id="16" w:name="_Toc39825250"/>
      <w:r>
        <w:rPr>
          <w:rFonts w:hint="eastAsia"/>
          <w:szCs w:val="28"/>
        </w:rPr>
        <w:t>3、审核报送</w:t>
      </w:r>
      <w:bookmarkEnd w:id="16"/>
    </w:p>
    <w:p>
      <w:pPr>
        <w:ind w:firstLine="560"/>
        <w:rPr>
          <w:rFonts w:hAnsi="仿宋"/>
          <w:szCs w:val="32"/>
        </w:rPr>
      </w:pPr>
      <w:r>
        <w:rPr>
          <w:rFonts w:hint="eastAsia" w:hAnsi="仿宋"/>
          <w:szCs w:val="32"/>
        </w:rPr>
        <w:t>自评表和自评报告完成之后，由财务部门进行内部审核，对自评表的真实性、完整性、合理性和客观性进行初步审核，对发现的问题及时反馈和修改，修改完善后报送省财政厅审核备案。</w:t>
      </w:r>
    </w:p>
    <w:p>
      <w:pPr>
        <w:pStyle w:val="2"/>
      </w:pPr>
      <w:bookmarkStart w:id="17" w:name="_Toc40046026"/>
      <w:bookmarkStart w:id="18" w:name="_Toc65597710"/>
      <w:r>
        <w:rPr>
          <w:rFonts w:hint="eastAsia"/>
        </w:rPr>
        <w:t>三、部门整体支出绩效自评情况分析</w:t>
      </w:r>
      <w:bookmarkEnd w:id="17"/>
      <w:bookmarkEnd w:id="18"/>
    </w:p>
    <w:p>
      <w:pPr>
        <w:pStyle w:val="3"/>
        <w:ind w:firstLine="643"/>
      </w:pPr>
      <w:bookmarkStart w:id="19" w:name="_Toc65597711"/>
      <w:bookmarkStart w:id="20" w:name="_Toc40046027"/>
      <w:r>
        <w:rPr>
          <w:rFonts w:hint="eastAsia"/>
        </w:rPr>
        <w:t>（一）部门决算情况</w:t>
      </w:r>
      <w:bookmarkEnd w:id="19"/>
      <w:bookmarkEnd w:id="20"/>
    </w:p>
    <w:p>
      <w:pPr>
        <w:ind w:firstLine="560"/>
        <w:rPr>
          <w:rFonts w:hAnsi="宋体"/>
          <w:szCs w:val="28"/>
        </w:rPr>
      </w:pPr>
      <w:bookmarkStart w:id="21" w:name="_Hlk62564299"/>
      <w:bookmarkStart w:id="22" w:name="_Toc40046028"/>
      <w:r>
        <w:rPr>
          <w:rFonts w:hAnsi="宋体"/>
          <w:szCs w:val="28"/>
        </w:rPr>
        <w:t>202</w:t>
      </w:r>
      <w:r>
        <w:rPr>
          <w:rFonts w:hint="eastAsia" w:hAnsi="宋体"/>
          <w:szCs w:val="28"/>
          <w:lang w:val="en-US" w:eastAsia="zh-CN"/>
        </w:rPr>
        <w:t>1</w:t>
      </w:r>
      <w:r>
        <w:rPr>
          <w:rFonts w:hint="eastAsia" w:hAnsi="宋体"/>
          <w:szCs w:val="28"/>
        </w:rPr>
        <w:t>年度，我单位整体支出年初预算数780.57万元，其中基本支出</w:t>
      </w:r>
      <w:r>
        <w:rPr>
          <w:rFonts w:hint="eastAsia" w:hAnsi="宋体"/>
          <w:szCs w:val="28"/>
          <w:lang w:val="en-US" w:eastAsia="zh-CN"/>
        </w:rPr>
        <w:t>690.57</w:t>
      </w:r>
      <w:r>
        <w:rPr>
          <w:rFonts w:hint="eastAsia" w:hAnsi="宋体"/>
          <w:szCs w:val="28"/>
        </w:rPr>
        <w:t>万元，项目支出</w:t>
      </w:r>
      <w:r>
        <w:rPr>
          <w:rFonts w:hint="eastAsia" w:hAnsi="宋体"/>
          <w:szCs w:val="28"/>
          <w:lang w:val="en-US" w:eastAsia="zh-CN"/>
        </w:rPr>
        <w:t>90</w:t>
      </w:r>
      <w:r>
        <w:rPr>
          <w:rFonts w:hint="eastAsia" w:hAnsi="宋体"/>
          <w:szCs w:val="28"/>
        </w:rPr>
        <w:t>万元。经调整，单位全年预算资金总额为</w:t>
      </w:r>
      <w:r>
        <w:rPr>
          <w:rFonts w:hint="eastAsia" w:hAnsi="宋体"/>
          <w:szCs w:val="28"/>
          <w:lang w:val="en-US" w:eastAsia="zh-CN"/>
        </w:rPr>
        <w:t>778.19</w:t>
      </w:r>
      <w:r>
        <w:rPr>
          <w:rFonts w:hint="eastAsia" w:hAnsi="宋体"/>
          <w:szCs w:val="28"/>
        </w:rPr>
        <w:t>万元，其中基本支出688.19万元，项目支出90万元。根据年末单位支出决算，我单位2</w:t>
      </w:r>
      <w:r>
        <w:rPr>
          <w:rFonts w:hAnsi="宋体"/>
          <w:szCs w:val="28"/>
        </w:rPr>
        <w:t>020</w:t>
      </w:r>
      <w:r>
        <w:rPr>
          <w:rFonts w:hint="eastAsia" w:hAnsi="宋体"/>
          <w:szCs w:val="28"/>
        </w:rPr>
        <w:t>年实际支出751.23万元，其中基本支出</w:t>
      </w:r>
      <w:r>
        <w:rPr>
          <w:rFonts w:hint="eastAsia" w:hAnsi="宋体"/>
          <w:szCs w:val="28"/>
          <w:lang w:val="en-US" w:eastAsia="zh-CN"/>
        </w:rPr>
        <w:t>661.76</w:t>
      </w:r>
      <w:r>
        <w:rPr>
          <w:rFonts w:hint="eastAsia" w:hAnsi="宋体"/>
          <w:szCs w:val="28"/>
        </w:rPr>
        <w:t>万元，项目支出</w:t>
      </w:r>
      <w:r>
        <w:rPr>
          <w:rFonts w:hint="eastAsia" w:hAnsi="宋体"/>
          <w:szCs w:val="28"/>
          <w:lang w:val="en-US" w:eastAsia="zh-CN"/>
        </w:rPr>
        <w:t>89.47</w:t>
      </w:r>
      <w:r>
        <w:rPr>
          <w:rFonts w:hint="eastAsia" w:hAnsi="宋体"/>
          <w:szCs w:val="28"/>
        </w:rPr>
        <w:t>万元，单位整体支出预算执行率为</w:t>
      </w:r>
      <w:r>
        <w:rPr>
          <w:rFonts w:hint="eastAsia" w:hAnsi="宋体"/>
          <w:szCs w:val="28"/>
          <w:lang w:val="en-US" w:eastAsia="zh-CN"/>
        </w:rPr>
        <w:t>96.54</w:t>
      </w:r>
      <w:r>
        <w:rPr>
          <w:rFonts w:hint="eastAsia" w:hAnsi="宋体"/>
          <w:szCs w:val="28"/>
        </w:rPr>
        <w:t>%，基本支出预算执行率为</w:t>
      </w:r>
      <w:r>
        <w:rPr>
          <w:rFonts w:hint="eastAsia" w:hAnsi="宋体"/>
          <w:szCs w:val="28"/>
          <w:lang w:val="en-US" w:eastAsia="zh-CN"/>
        </w:rPr>
        <w:t>96.16</w:t>
      </w:r>
      <w:r>
        <w:rPr>
          <w:rFonts w:hint="eastAsia" w:hAnsi="宋体"/>
          <w:szCs w:val="28"/>
        </w:rPr>
        <w:t>%，项目支出预算执行</w:t>
      </w:r>
      <w:r>
        <w:rPr>
          <w:rFonts w:hint="eastAsia" w:hAnsi="宋体"/>
          <w:szCs w:val="28"/>
          <w:lang w:val="en-US" w:eastAsia="zh-CN"/>
        </w:rPr>
        <w:t>率为99.41%，其中：基本支出结转26.43万元，项目支出结转0.53万元。</w:t>
      </w:r>
    </w:p>
    <w:bookmarkEnd w:id="21"/>
    <w:p>
      <w:pPr>
        <w:pStyle w:val="3"/>
        <w:ind w:firstLine="643"/>
      </w:pPr>
      <w:bookmarkStart w:id="23" w:name="_Toc65597712"/>
      <w:r>
        <w:rPr>
          <w:rFonts w:hint="eastAsia"/>
        </w:rPr>
        <w:t>（二）总体绩效目标完成情况分析</w:t>
      </w:r>
      <w:bookmarkEnd w:id="22"/>
      <w:bookmarkEnd w:id="23"/>
    </w:p>
    <w:p>
      <w:pPr>
        <w:ind w:firstLine="560"/>
        <w:rPr>
          <w:rFonts w:hAnsi="宋体"/>
          <w:szCs w:val="28"/>
        </w:rPr>
      </w:pPr>
      <w:r>
        <w:rPr>
          <w:rFonts w:hint="eastAsia" w:hAnsi="宋体"/>
          <w:szCs w:val="28"/>
        </w:rPr>
        <w:t>经综合评价与分析，我单位20</w:t>
      </w:r>
      <w:r>
        <w:rPr>
          <w:rFonts w:hAnsi="宋体"/>
          <w:szCs w:val="28"/>
        </w:rPr>
        <w:t>2</w:t>
      </w:r>
      <w:r>
        <w:rPr>
          <w:rFonts w:hint="eastAsia" w:hAnsi="宋体"/>
          <w:szCs w:val="28"/>
          <w:lang w:val="en-US" w:eastAsia="zh-CN"/>
        </w:rPr>
        <w:t>1</w:t>
      </w:r>
      <w:r>
        <w:rPr>
          <w:rFonts w:hint="eastAsia" w:hAnsi="宋体"/>
          <w:szCs w:val="28"/>
        </w:rPr>
        <w:t>年度部门整体支出绩效评价最终得分为</w:t>
      </w:r>
      <w:r>
        <w:rPr>
          <w:rFonts w:hAnsi="宋体"/>
          <w:szCs w:val="28"/>
        </w:rPr>
        <w:t>9</w:t>
      </w:r>
      <w:r>
        <w:rPr>
          <w:rFonts w:hint="eastAsia" w:hAnsi="宋体"/>
          <w:szCs w:val="28"/>
          <w:lang w:val="en-US" w:eastAsia="zh-CN"/>
        </w:rPr>
        <w:t>7.71</w:t>
      </w:r>
      <w:r>
        <w:rPr>
          <w:rFonts w:hint="eastAsia" w:hAnsi="宋体"/>
          <w:szCs w:val="28"/>
        </w:rPr>
        <w:t>分，评价结果为“优”。</w:t>
      </w:r>
    </w:p>
    <w:p>
      <w:pPr>
        <w:ind w:firstLine="0" w:firstLineChars="0"/>
        <w:jc w:val="center"/>
        <w:rPr>
          <w:rFonts w:hAnsi="宋体" w:cstheme="minorEastAsia"/>
          <w:b/>
          <w:bCs/>
          <w:kern w:val="0"/>
          <w:szCs w:val="28"/>
        </w:rPr>
      </w:pPr>
      <w:r>
        <w:rPr>
          <w:rFonts w:hint="eastAsia" w:hAnsi="宋体" w:cstheme="minorEastAsia"/>
          <w:b/>
          <w:bCs/>
          <w:kern w:val="0"/>
          <w:szCs w:val="28"/>
        </w:rPr>
        <w:t>202</w:t>
      </w:r>
      <w:r>
        <w:rPr>
          <w:rFonts w:hint="eastAsia" w:hAnsi="宋体" w:cstheme="minorEastAsia"/>
          <w:b/>
          <w:bCs/>
          <w:kern w:val="0"/>
          <w:szCs w:val="28"/>
          <w:lang w:val="en-US" w:eastAsia="zh-CN"/>
        </w:rPr>
        <w:t>1</w:t>
      </w:r>
      <w:r>
        <w:rPr>
          <w:rFonts w:hint="eastAsia" w:hAnsi="宋体" w:cstheme="minorEastAsia"/>
          <w:b/>
          <w:bCs/>
          <w:kern w:val="0"/>
          <w:szCs w:val="28"/>
        </w:rPr>
        <w:t>年度部门整体支出绩效评价指标得分情况</w:t>
      </w:r>
    </w:p>
    <w:tbl>
      <w:tblPr>
        <w:tblStyle w:val="1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0"/>
        <w:gridCol w:w="1329"/>
        <w:gridCol w:w="1563"/>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3610"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一级指标</w:t>
            </w:r>
          </w:p>
        </w:tc>
        <w:tc>
          <w:tcPr>
            <w:tcW w:w="1329"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分值</w:t>
            </w:r>
          </w:p>
        </w:tc>
        <w:tc>
          <w:tcPr>
            <w:tcW w:w="1563"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得分</w:t>
            </w:r>
          </w:p>
        </w:tc>
        <w:tc>
          <w:tcPr>
            <w:tcW w:w="1794"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预算执行率</w:t>
            </w:r>
          </w:p>
        </w:tc>
        <w:tc>
          <w:tcPr>
            <w:tcW w:w="1329"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10</w:t>
            </w:r>
          </w:p>
        </w:tc>
        <w:tc>
          <w:tcPr>
            <w:tcW w:w="1563"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9.65</w:t>
            </w:r>
          </w:p>
        </w:tc>
        <w:tc>
          <w:tcPr>
            <w:tcW w:w="1794" w:type="dxa"/>
            <w:shd w:val="clear" w:color="auto" w:fill="auto"/>
            <w:vAlign w:val="center"/>
          </w:tcPr>
          <w:p>
            <w:pPr>
              <w:widowControl/>
              <w:spacing w:line="240" w:lineRule="auto"/>
              <w:ind w:firstLine="0" w:firstLineChars="0"/>
              <w:jc w:val="center"/>
              <w:rPr>
                <w:rFonts w:hAnsi="宋体" w:cs="宋体"/>
                <w:color w:val="000000"/>
                <w:kern w:val="0"/>
                <w:sz w:val="24"/>
                <w:szCs w:val="24"/>
                <w:highlight w:val="none"/>
              </w:rPr>
            </w:pPr>
            <w:r>
              <w:rPr>
                <w:rFonts w:hint="eastAsia" w:hAnsi="宋体" w:cs="宋体"/>
                <w:color w:val="000000"/>
                <w:kern w:val="0"/>
                <w:sz w:val="24"/>
                <w:szCs w:val="24"/>
                <w:highlight w:val="none"/>
                <w:lang w:val="en-US" w:eastAsia="zh-CN"/>
              </w:rPr>
              <w:t>96.5</w:t>
            </w:r>
            <w:r>
              <w:rPr>
                <w:rFonts w:hint="eastAsia" w:hAnsi="宋体" w:cs="宋体"/>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部门管理</w:t>
            </w:r>
          </w:p>
        </w:tc>
        <w:tc>
          <w:tcPr>
            <w:tcW w:w="1329"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lang w:val="en-US" w:eastAsia="zh-CN"/>
              </w:rPr>
            </w:pPr>
            <w:r>
              <w:rPr>
                <w:rFonts w:hint="eastAsia" w:hAnsi="宋体" w:cs="宋体"/>
                <w:color w:val="000000"/>
                <w:kern w:val="0"/>
                <w:sz w:val="24"/>
                <w:szCs w:val="24"/>
                <w:lang w:val="en-US" w:eastAsia="zh-CN"/>
              </w:rPr>
              <w:t>30</w:t>
            </w:r>
          </w:p>
        </w:tc>
        <w:tc>
          <w:tcPr>
            <w:tcW w:w="1563"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29.86</w:t>
            </w:r>
          </w:p>
        </w:tc>
        <w:tc>
          <w:tcPr>
            <w:tcW w:w="1794" w:type="dxa"/>
            <w:shd w:val="clear" w:color="auto" w:fill="auto"/>
            <w:vAlign w:val="center"/>
          </w:tcPr>
          <w:p>
            <w:pPr>
              <w:widowControl/>
              <w:spacing w:line="240" w:lineRule="auto"/>
              <w:ind w:firstLine="0" w:firstLineChars="0"/>
              <w:jc w:val="center"/>
              <w:rPr>
                <w:rFonts w:hAnsi="宋体" w:cs="宋体"/>
                <w:color w:val="000000"/>
                <w:kern w:val="0"/>
                <w:sz w:val="24"/>
                <w:szCs w:val="24"/>
                <w:highlight w:val="none"/>
              </w:rPr>
            </w:pPr>
            <w:r>
              <w:rPr>
                <w:rFonts w:hAnsi="宋体" w:cs="宋体"/>
                <w:color w:val="000000"/>
                <w:kern w:val="0"/>
                <w:sz w:val="24"/>
                <w:szCs w:val="24"/>
                <w:highlight w:val="none"/>
              </w:rPr>
              <w:t>9</w:t>
            </w:r>
            <w:r>
              <w:rPr>
                <w:rFonts w:hint="eastAsia" w:hAnsi="宋体" w:cs="宋体"/>
                <w:color w:val="000000"/>
                <w:kern w:val="0"/>
                <w:sz w:val="24"/>
                <w:szCs w:val="24"/>
                <w:highlight w:val="none"/>
                <w:lang w:val="en-US" w:eastAsia="zh-CN"/>
              </w:rPr>
              <w:t>9.53</w:t>
            </w:r>
            <w:r>
              <w:rPr>
                <w:rFonts w:hint="eastAsia" w:hAnsi="宋体" w:cs="宋体"/>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履职效果</w:t>
            </w:r>
          </w:p>
        </w:tc>
        <w:tc>
          <w:tcPr>
            <w:tcW w:w="1329"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lang w:val="en-US" w:eastAsia="zh-CN"/>
              </w:rPr>
            </w:pPr>
            <w:r>
              <w:rPr>
                <w:rFonts w:hint="eastAsia" w:hAnsi="宋体" w:cs="宋体"/>
                <w:color w:val="000000"/>
                <w:kern w:val="0"/>
                <w:sz w:val="24"/>
                <w:szCs w:val="24"/>
                <w:lang w:val="en-US" w:eastAsia="zh-CN"/>
              </w:rPr>
              <w:t>30</w:t>
            </w:r>
          </w:p>
        </w:tc>
        <w:tc>
          <w:tcPr>
            <w:tcW w:w="1563"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28.8</w:t>
            </w:r>
          </w:p>
        </w:tc>
        <w:tc>
          <w:tcPr>
            <w:tcW w:w="1794" w:type="dxa"/>
            <w:shd w:val="clear" w:color="auto" w:fill="auto"/>
            <w:vAlign w:val="center"/>
          </w:tcPr>
          <w:p>
            <w:pPr>
              <w:widowControl/>
              <w:spacing w:line="240" w:lineRule="auto"/>
              <w:ind w:firstLine="0" w:firstLineChars="0"/>
              <w:jc w:val="center"/>
              <w:rPr>
                <w:rFonts w:hAnsi="宋体" w:cs="宋体"/>
                <w:color w:val="000000"/>
                <w:kern w:val="0"/>
                <w:sz w:val="24"/>
                <w:szCs w:val="24"/>
                <w:highlight w:val="none"/>
              </w:rPr>
            </w:pPr>
            <w:r>
              <w:rPr>
                <w:rFonts w:hint="eastAsia" w:hAnsi="宋体" w:cs="宋体"/>
                <w:color w:val="000000"/>
                <w:kern w:val="0"/>
                <w:sz w:val="24"/>
                <w:szCs w:val="24"/>
                <w:highlight w:val="none"/>
                <w:lang w:val="en-US" w:eastAsia="zh-CN"/>
              </w:rPr>
              <w:t>96</w:t>
            </w:r>
            <w:r>
              <w:rPr>
                <w:rFonts w:hint="eastAsia" w:hAnsi="宋体" w:cs="宋体"/>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能力建设</w:t>
            </w:r>
          </w:p>
        </w:tc>
        <w:tc>
          <w:tcPr>
            <w:tcW w:w="1329"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lang w:val="en-US" w:eastAsia="zh-CN"/>
              </w:rPr>
            </w:pPr>
            <w:r>
              <w:rPr>
                <w:rFonts w:hint="eastAsia" w:hAnsi="宋体" w:cs="宋体"/>
                <w:color w:val="000000"/>
                <w:kern w:val="0"/>
                <w:sz w:val="24"/>
                <w:szCs w:val="24"/>
                <w:lang w:val="en-US" w:eastAsia="zh-CN"/>
              </w:rPr>
              <w:t>24</w:t>
            </w:r>
          </w:p>
        </w:tc>
        <w:tc>
          <w:tcPr>
            <w:tcW w:w="1563"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23.4</w:t>
            </w:r>
          </w:p>
        </w:tc>
        <w:tc>
          <w:tcPr>
            <w:tcW w:w="1794" w:type="dxa"/>
            <w:shd w:val="clear" w:color="auto" w:fill="auto"/>
            <w:vAlign w:val="center"/>
          </w:tcPr>
          <w:p>
            <w:pPr>
              <w:widowControl/>
              <w:spacing w:line="240" w:lineRule="auto"/>
              <w:ind w:firstLine="0" w:firstLineChars="0"/>
              <w:jc w:val="center"/>
              <w:rPr>
                <w:rFonts w:hAnsi="宋体" w:cs="宋体"/>
                <w:color w:val="000000"/>
                <w:kern w:val="0"/>
                <w:sz w:val="24"/>
                <w:szCs w:val="24"/>
                <w:highlight w:val="none"/>
              </w:rPr>
            </w:pPr>
            <w:r>
              <w:rPr>
                <w:rFonts w:hAnsi="宋体" w:cs="宋体"/>
                <w:color w:val="000000"/>
                <w:kern w:val="0"/>
                <w:sz w:val="24"/>
                <w:szCs w:val="24"/>
                <w:highlight w:val="none"/>
              </w:rPr>
              <w:t>9</w:t>
            </w:r>
            <w:r>
              <w:rPr>
                <w:rFonts w:hint="eastAsia" w:hAnsi="宋体" w:cs="宋体"/>
                <w:color w:val="000000"/>
                <w:kern w:val="0"/>
                <w:sz w:val="24"/>
                <w:szCs w:val="24"/>
                <w:highlight w:val="none"/>
                <w:lang w:val="en-US" w:eastAsia="zh-CN"/>
              </w:rPr>
              <w:t>7.5</w:t>
            </w:r>
            <w:r>
              <w:rPr>
                <w:rFonts w:hint="eastAsia" w:hAnsi="宋体" w:cs="宋体"/>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服务对象满意度</w:t>
            </w:r>
          </w:p>
        </w:tc>
        <w:tc>
          <w:tcPr>
            <w:tcW w:w="1329" w:type="dxa"/>
            <w:shd w:val="clear" w:color="auto" w:fill="auto"/>
            <w:vAlign w:val="center"/>
          </w:tcPr>
          <w:p>
            <w:pPr>
              <w:widowControl/>
              <w:spacing w:line="240" w:lineRule="auto"/>
              <w:ind w:firstLine="0" w:firstLineChars="0"/>
              <w:jc w:val="center"/>
              <w:rPr>
                <w:rFonts w:hint="eastAsia" w:hAnsi="宋体" w:eastAsia="仿宋_GB2312" w:cs="宋体"/>
                <w:color w:val="000000"/>
                <w:kern w:val="0"/>
                <w:sz w:val="24"/>
                <w:szCs w:val="24"/>
                <w:lang w:eastAsia="zh-CN"/>
              </w:rPr>
            </w:pPr>
            <w:r>
              <w:rPr>
                <w:rFonts w:hint="eastAsia" w:hAnsi="宋体" w:cs="宋体"/>
                <w:color w:val="000000"/>
                <w:kern w:val="0"/>
                <w:sz w:val="24"/>
                <w:szCs w:val="24"/>
                <w:lang w:val="en-US" w:eastAsia="zh-CN"/>
              </w:rPr>
              <w:t>6</w:t>
            </w:r>
          </w:p>
        </w:tc>
        <w:tc>
          <w:tcPr>
            <w:tcW w:w="1563" w:type="dxa"/>
            <w:shd w:val="clear" w:color="auto" w:fill="auto"/>
            <w:vAlign w:val="center"/>
          </w:tcPr>
          <w:p>
            <w:pPr>
              <w:widowControl/>
              <w:spacing w:line="240" w:lineRule="auto"/>
              <w:ind w:firstLine="0" w:firstLineChars="0"/>
              <w:jc w:val="center"/>
              <w:rPr>
                <w:rFonts w:hint="eastAsia" w:hAnsi="宋体" w:eastAsia="仿宋_GB2312" w:cs="宋体"/>
                <w:color w:val="000000"/>
                <w:kern w:val="0"/>
                <w:sz w:val="24"/>
                <w:szCs w:val="24"/>
                <w:highlight w:val="none"/>
                <w:lang w:eastAsia="zh-CN"/>
              </w:rPr>
            </w:pPr>
            <w:r>
              <w:rPr>
                <w:rFonts w:hint="eastAsia" w:hAnsi="宋体" w:cs="宋体"/>
                <w:color w:val="000000"/>
                <w:kern w:val="0"/>
                <w:sz w:val="24"/>
                <w:szCs w:val="24"/>
                <w:highlight w:val="none"/>
                <w:lang w:val="en-US" w:eastAsia="zh-CN"/>
              </w:rPr>
              <w:t>6</w:t>
            </w:r>
          </w:p>
        </w:tc>
        <w:tc>
          <w:tcPr>
            <w:tcW w:w="1794" w:type="dxa"/>
            <w:shd w:val="clear" w:color="auto" w:fill="auto"/>
            <w:vAlign w:val="center"/>
          </w:tcPr>
          <w:p>
            <w:pPr>
              <w:widowControl/>
              <w:spacing w:line="240" w:lineRule="auto"/>
              <w:ind w:firstLine="0" w:firstLineChars="0"/>
              <w:jc w:val="center"/>
              <w:rPr>
                <w:rFonts w:hAnsi="宋体" w:cs="宋体"/>
                <w:color w:val="000000"/>
                <w:kern w:val="0"/>
                <w:sz w:val="24"/>
                <w:szCs w:val="24"/>
                <w:highlight w:val="none"/>
              </w:rPr>
            </w:pPr>
            <w:r>
              <w:rPr>
                <w:rFonts w:hint="eastAsia" w:hAnsi="宋体" w:cs="宋体"/>
                <w:color w:val="000000"/>
                <w:kern w:val="0"/>
                <w:sz w:val="24"/>
                <w:szCs w:val="24"/>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合计</w:t>
            </w:r>
          </w:p>
        </w:tc>
        <w:tc>
          <w:tcPr>
            <w:tcW w:w="1329"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100</w:t>
            </w:r>
          </w:p>
        </w:tc>
        <w:tc>
          <w:tcPr>
            <w:tcW w:w="1563" w:type="dxa"/>
            <w:shd w:val="clear" w:color="auto" w:fill="auto"/>
            <w:vAlign w:val="center"/>
          </w:tcPr>
          <w:p>
            <w:pPr>
              <w:widowControl/>
              <w:spacing w:line="240" w:lineRule="auto"/>
              <w:ind w:firstLine="0" w:firstLineChars="0"/>
              <w:jc w:val="center"/>
              <w:rPr>
                <w:rFonts w:hint="default" w:hAnsi="宋体" w:eastAsia="仿宋_GB2312" w:cs="宋体"/>
                <w:b/>
                <w:bCs/>
                <w:color w:val="000000"/>
                <w:kern w:val="0"/>
                <w:sz w:val="24"/>
                <w:szCs w:val="24"/>
                <w:highlight w:val="none"/>
                <w:lang w:val="en-US" w:eastAsia="zh-CN"/>
              </w:rPr>
            </w:pPr>
            <w:r>
              <w:rPr>
                <w:rFonts w:hint="eastAsia" w:hAnsi="宋体" w:cs="宋体"/>
                <w:b/>
                <w:bCs/>
                <w:color w:val="000000"/>
                <w:kern w:val="0"/>
                <w:sz w:val="24"/>
                <w:szCs w:val="24"/>
                <w:highlight w:val="none"/>
                <w:lang w:val="en-US" w:eastAsia="zh-CN"/>
              </w:rPr>
              <w:t>97.71</w:t>
            </w:r>
          </w:p>
        </w:tc>
        <w:tc>
          <w:tcPr>
            <w:tcW w:w="1794" w:type="dxa"/>
            <w:shd w:val="clear" w:color="auto" w:fill="auto"/>
            <w:vAlign w:val="center"/>
          </w:tcPr>
          <w:p>
            <w:pPr>
              <w:widowControl/>
              <w:spacing w:line="240" w:lineRule="auto"/>
              <w:ind w:firstLine="0" w:firstLineChars="0"/>
              <w:jc w:val="center"/>
              <w:rPr>
                <w:rFonts w:hAnsi="宋体" w:cs="宋体"/>
                <w:b/>
                <w:bCs/>
                <w:color w:val="000000"/>
                <w:kern w:val="0"/>
                <w:sz w:val="24"/>
                <w:szCs w:val="24"/>
                <w:highlight w:val="none"/>
              </w:rPr>
            </w:pPr>
            <w:r>
              <w:rPr>
                <w:rFonts w:hAnsi="宋体" w:cs="宋体"/>
                <w:b/>
                <w:bCs/>
                <w:color w:val="000000"/>
                <w:kern w:val="0"/>
                <w:sz w:val="24"/>
                <w:szCs w:val="24"/>
                <w:highlight w:val="none"/>
              </w:rPr>
              <w:t>9</w:t>
            </w:r>
            <w:r>
              <w:rPr>
                <w:rFonts w:hint="eastAsia" w:hAnsi="宋体" w:cs="宋体"/>
                <w:b/>
                <w:bCs/>
                <w:color w:val="000000"/>
                <w:kern w:val="0"/>
                <w:sz w:val="24"/>
                <w:szCs w:val="24"/>
                <w:highlight w:val="none"/>
                <w:lang w:val="en-US" w:eastAsia="zh-CN"/>
              </w:rPr>
              <w:t>7.71</w:t>
            </w:r>
            <w:r>
              <w:rPr>
                <w:rFonts w:hint="eastAsia" w:hAnsi="宋体" w:cs="宋体"/>
                <w:b/>
                <w:bCs/>
                <w:color w:val="000000"/>
                <w:kern w:val="0"/>
                <w:sz w:val="24"/>
                <w:szCs w:val="24"/>
                <w:highlight w:val="none"/>
              </w:rPr>
              <w:t>%</w:t>
            </w:r>
          </w:p>
        </w:tc>
      </w:tr>
    </w:tbl>
    <w:p>
      <w:pPr>
        <w:pStyle w:val="4"/>
        <w:ind w:firstLine="562"/>
      </w:pPr>
      <w:bookmarkStart w:id="24" w:name="_Toc40046029"/>
      <w:r>
        <w:t>1、目标一</w:t>
      </w:r>
    </w:p>
    <w:p>
      <w:pPr>
        <w:ind w:firstLine="562"/>
      </w:pPr>
      <w:r>
        <w:rPr>
          <w:rFonts w:hint="eastAsia"/>
          <w:b/>
          <w:bCs/>
        </w:rPr>
        <w:t>预期目标</w:t>
      </w:r>
      <w:r>
        <w:rPr>
          <w:rFonts w:hint="eastAsia"/>
        </w:rPr>
        <w:t>：扎实推进中共党史学习教育，叩问了合作初心，坚定了理想信念。在盟省委的带领下，全省各级盟组织和盟员学起来、做起来，召开党史学习教育专题讲座15</w:t>
      </w:r>
      <w:r>
        <w:rPr>
          <w:rFonts w:hint="eastAsia"/>
          <w:lang w:val="en-US" w:eastAsia="zh-CN"/>
        </w:rPr>
        <w:t>0</w:t>
      </w:r>
      <w:r>
        <w:rPr>
          <w:rFonts w:hint="eastAsia"/>
        </w:rPr>
        <w:t>场</w:t>
      </w:r>
      <w:r>
        <w:rPr>
          <w:rFonts w:hint="eastAsia"/>
          <w:lang w:eastAsia="zh-CN"/>
        </w:rPr>
        <w:t>以上</w:t>
      </w:r>
      <w:r>
        <w:rPr>
          <w:rFonts w:hint="eastAsia"/>
        </w:rPr>
        <w:t>、专题学习会1</w:t>
      </w:r>
      <w:r>
        <w:rPr>
          <w:rFonts w:hint="eastAsia"/>
          <w:lang w:val="en-US" w:eastAsia="zh-CN"/>
        </w:rPr>
        <w:t>30</w:t>
      </w:r>
      <w:r>
        <w:rPr>
          <w:rFonts w:hint="eastAsia"/>
        </w:rPr>
        <w:t>次</w:t>
      </w:r>
      <w:r>
        <w:rPr>
          <w:rFonts w:hint="eastAsia"/>
          <w:lang w:eastAsia="zh-CN"/>
        </w:rPr>
        <w:t>以上</w:t>
      </w:r>
      <w:r>
        <w:rPr>
          <w:rFonts w:hint="eastAsia"/>
        </w:rPr>
        <w:t>、组织交流研讨5</w:t>
      </w:r>
      <w:r>
        <w:rPr>
          <w:rFonts w:hint="eastAsia"/>
          <w:lang w:val="en-US" w:eastAsia="zh-CN"/>
        </w:rPr>
        <w:t>0</w:t>
      </w:r>
      <w:r>
        <w:rPr>
          <w:rFonts w:hint="eastAsia"/>
        </w:rPr>
        <w:t>次</w:t>
      </w:r>
      <w:r>
        <w:rPr>
          <w:rFonts w:hint="eastAsia"/>
          <w:lang w:eastAsia="zh-CN"/>
        </w:rPr>
        <w:t>以上</w:t>
      </w:r>
      <w:r>
        <w:rPr>
          <w:rFonts w:hint="eastAsia"/>
        </w:rPr>
        <w:t>、开展集中培训</w:t>
      </w:r>
      <w:r>
        <w:rPr>
          <w:rFonts w:hint="eastAsia"/>
          <w:lang w:val="en-US" w:eastAsia="zh-CN"/>
        </w:rPr>
        <w:t>50</w:t>
      </w:r>
      <w:r>
        <w:rPr>
          <w:rFonts w:hint="eastAsia"/>
        </w:rPr>
        <w:t>场</w:t>
      </w:r>
      <w:r>
        <w:rPr>
          <w:rFonts w:hint="eastAsia"/>
          <w:lang w:eastAsia="zh-CN"/>
        </w:rPr>
        <w:t>以上</w:t>
      </w:r>
      <w:r>
        <w:t>。</w:t>
      </w:r>
    </w:p>
    <w:p>
      <w:pPr>
        <w:ind w:firstLine="562"/>
        <w:rPr>
          <w:rFonts w:hint="eastAsia" w:hAnsi="宋体"/>
          <w:szCs w:val="28"/>
        </w:rPr>
      </w:pPr>
      <w:r>
        <w:rPr>
          <w:rFonts w:hint="eastAsia"/>
          <w:b/>
          <w:bCs/>
        </w:rPr>
        <w:t>实际完成情况</w:t>
      </w:r>
      <w:r>
        <w:rPr>
          <w:rFonts w:hint="eastAsia"/>
        </w:rPr>
        <w:t>：我单位2021年制定了《关于开展中共党史学习教育的指导意见》和《实施方案》，明确了学习教育的指导思想、总体目标、重点任务。主委会议成员带头参加组织生活，带头参加学习讨论，形成以上率下、整体联动的良好效应。机关依托周四学习例会，原原本本研读中共党史，每月组织1次研讨交流，感悟百年历史，庚续精神血脉。赴古浪战役纪念馆开展现场教学，传承革命精神，坚定理想信念。在盟省委的带领下，全省各级盟组织和盟员学起来、做起来，累计召开党史学习教育专题讲座155场、专题学习会149次、组织交流研讨58次、开展集中培训60场。</w:t>
      </w:r>
    </w:p>
    <w:p>
      <w:pPr>
        <w:pStyle w:val="4"/>
        <w:ind w:firstLine="562"/>
      </w:pPr>
      <w:r>
        <w:t>2、目标二</w:t>
      </w:r>
    </w:p>
    <w:p>
      <w:pPr>
        <w:ind w:firstLine="562"/>
        <w:rPr>
          <w:rFonts w:hint="eastAsia"/>
        </w:rPr>
      </w:pPr>
      <w:r>
        <w:rPr>
          <w:rFonts w:hint="eastAsia"/>
          <w:b/>
          <w:bCs/>
        </w:rPr>
        <w:t>预期目标</w:t>
      </w:r>
      <w:r>
        <w:rPr>
          <w:rFonts w:hint="eastAsia"/>
        </w:rPr>
        <w:t>：计划组织庆祝中国共产党成立100周年、纪念民盟成立80周年暨甘肃民盟组织建立80周年系列活动。计划组织以“我与民盟”为主题开展征文等活动。</w:t>
      </w:r>
    </w:p>
    <w:p>
      <w:pPr>
        <w:ind w:firstLine="562"/>
        <w:rPr>
          <w:rFonts w:hAnsi="宋体"/>
          <w:szCs w:val="28"/>
        </w:rPr>
      </w:pPr>
      <w:r>
        <w:rPr>
          <w:rFonts w:hint="eastAsia"/>
          <w:b/>
          <w:bCs/>
        </w:rPr>
        <w:t>实际完成情况</w:t>
      </w:r>
      <w:r>
        <w:rPr>
          <w:rFonts w:hint="eastAsia"/>
        </w:rPr>
        <w:t>：</w:t>
      </w:r>
      <w:r>
        <w:rPr>
          <w:rFonts w:hint="eastAsia" w:hAnsi="宋体"/>
          <w:szCs w:val="28"/>
        </w:rPr>
        <w:t>我单位组织</w:t>
      </w:r>
      <w:r>
        <w:rPr>
          <w:rFonts w:hint="eastAsia" w:hAnsi="宋体"/>
          <w:szCs w:val="28"/>
          <w:lang w:eastAsia="zh-CN"/>
        </w:rPr>
        <w:t>了</w:t>
      </w:r>
      <w:r>
        <w:rPr>
          <w:rFonts w:hint="eastAsia" w:hAnsi="宋体"/>
          <w:szCs w:val="28"/>
        </w:rPr>
        <w:t>庆祝中国共产党成立100周年、纪念民盟成立80周年暨甘肃民盟组织建立80周年系列活动，激发了永远跟党走的信念和决心。认真组织各级盟组织和广大盟员收看庆祝中国共产党成立100周年大会，共同聆听习近平总书记的重要讲话。召开庆祝中国共产党成立100周年、纪念民盟成立80周年暨甘肃民盟组织建立80周年大会，举办“同圆复兴梦 翰墨赋华章”主题书画展。以“我与民盟”为主题开展征文，收到文章75篇并结集出版。拍摄“风雨同舟八十年  同心共筑中国梦”专题宣传片，献礼甘肃民盟组织建立80周年。</w:t>
      </w:r>
    </w:p>
    <w:p>
      <w:pPr>
        <w:pStyle w:val="4"/>
        <w:ind w:firstLine="562"/>
      </w:pPr>
      <w:r>
        <w:t>3、目标三</w:t>
      </w:r>
    </w:p>
    <w:p>
      <w:pPr>
        <w:ind w:firstLine="562"/>
        <w:rPr>
          <w:rFonts w:hAnsi="宋体"/>
          <w:szCs w:val="28"/>
        </w:rPr>
      </w:pPr>
      <w:r>
        <w:rPr>
          <w:rFonts w:hint="eastAsia"/>
          <w:b/>
          <w:bCs/>
        </w:rPr>
        <w:t>预期目标</w:t>
      </w:r>
      <w:r>
        <w:rPr>
          <w:rFonts w:hint="eastAsia"/>
        </w:rPr>
        <w:t>：计划组织主委会议、常委会议集中学习，机关学习、研讨等，组织青年理论学习小组活动等。计划在南梁革命纪念馆挂牌民盟甘肃省委传统教育基地，为广大盟员认知传统、继承传统、弘扬传统提供平台，支持新建“盟员之家”。</w:t>
      </w:r>
    </w:p>
    <w:p>
      <w:pPr>
        <w:ind w:firstLine="562"/>
        <w:rPr>
          <w:rFonts w:hint="eastAsia" w:hAnsi="宋体"/>
          <w:szCs w:val="28"/>
        </w:rPr>
      </w:pPr>
      <w:r>
        <w:rPr>
          <w:rFonts w:hint="eastAsia"/>
          <w:b/>
          <w:bCs/>
        </w:rPr>
        <w:t>实际完成情况</w:t>
      </w:r>
      <w:r>
        <w:rPr>
          <w:rFonts w:hint="eastAsia"/>
        </w:rPr>
        <w:t>：</w:t>
      </w:r>
      <w:r>
        <w:rPr>
          <w:rFonts w:hint="eastAsia" w:hAnsi="宋体"/>
          <w:szCs w:val="28"/>
        </w:rPr>
        <w:t>我单位组织主委会议、常委会议集中学习9次，机关学习68次、研讨11次，青年理论学习小组活动11次，领悟新思想、领略新成就，更加深切感受到中国共产党领导和中国特色社会主义制度的显著优势，进一步筑牢了共同思想政治基础。在南梁革命纪念馆挂牌民盟甘肃省委传统教育基地，为广大盟员认知传统、继承传统、弘扬传统提供平台。支持兰州、武威、酒泉、庆阳等地新建7家“盟员之家”，全省累计达到26家。成立民盟中央美术院甘肃分院，筹建民盟中央美术院敦煌创作基地，引导盟员艺术家大力弘扬主旋律，多出精品力作。</w:t>
      </w:r>
    </w:p>
    <w:p>
      <w:pPr>
        <w:pStyle w:val="4"/>
        <w:ind w:firstLine="562"/>
      </w:pPr>
      <w:r>
        <w:t>4、目标四</w:t>
      </w:r>
    </w:p>
    <w:p>
      <w:pPr>
        <w:ind w:firstLine="562"/>
        <w:rPr>
          <w:rFonts w:hint="eastAsia"/>
        </w:rPr>
      </w:pPr>
      <w:r>
        <w:rPr>
          <w:rFonts w:hint="eastAsia"/>
          <w:b/>
          <w:bCs/>
        </w:rPr>
        <w:t>预期目标</w:t>
      </w:r>
      <w:r>
        <w:rPr>
          <w:rFonts w:hint="eastAsia"/>
        </w:rPr>
        <w:t>：制定《关于做好高层次代表人士发展工作实施方案》以及《领导班子联系高层次代表人士办法（试行）》，建立高层次代表人士数据库。</w:t>
      </w:r>
    </w:p>
    <w:p>
      <w:pPr>
        <w:ind w:firstLine="562"/>
        <w:rPr>
          <w:rFonts w:hint="eastAsia"/>
        </w:rPr>
      </w:pPr>
      <w:r>
        <w:rPr>
          <w:rFonts w:hint="eastAsia"/>
          <w:b/>
          <w:bCs/>
        </w:rPr>
        <w:t>实际完成情况</w:t>
      </w:r>
      <w:r>
        <w:rPr>
          <w:rFonts w:hint="eastAsia"/>
        </w:rPr>
        <w:t>：我单位制定</w:t>
      </w:r>
      <w:r>
        <w:rPr>
          <w:rFonts w:hint="eastAsia"/>
          <w:lang w:eastAsia="zh-CN"/>
        </w:rPr>
        <w:t>了</w:t>
      </w:r>
      <w:r>
        <w:rPr>
          <w:rFonts w:hint="eastAsia"/>
        </w:rPr>
        <w:t>《关于做好高层次代表人士发展工作实施方案》以及《领导班子联系高层次代表人士办法（试行）》，建立高层次代表人士数据库。领导班子亲自过问和联系发展代表性人士，做重点对象的工作，并走访部分高等院校党委和政府厅局，争取对民盟工作的支持和帮助，为全省的组织发展做出了表率。2021年共发展新盟员230人，截止目前，全省盟员总数为9665人。通过选派和专题培训等方式，多途径加强干部队伍建设，积极为骨干盟员发挥作用搭建平台，构建动态管理人才库模式，为做好政治交接、人才接替做好前期准备。推荐11名盟员参加中央统战部、民盟中央、省委统战部各类学习培训。举办2期培训班，共计培训110人。</w:t>
      </w:r>
    </w:p>
    <w:p>
      <w:pPr>
        <w:pStyle w:val="3"/>
        <w:ind w:firstLine="643"/>
        <w:rPr>
          <w:highlight w:val="none"/>
        </w:rPr>
      </w:pPr>
      <w:bookmarkStart w:id="25" w:name="_Toc65597713"/>
      <w:r>
        <w:rPr>
          <w:rFonts w:hint="eastAsia"/>
          <w:highlight w:val="none"/>
        </w:rPr>
        <w:t>（三）各项指标完成情况分析</w:t>
      </w:r>
      <w:bookmarkEnd w:id="24"/>
      <w:bookmarkEnd w:id="25"/>
    </w:p>
    <w:p>
      <w:pPr>
        <w:pStyle w:val="4"/>
        <w:ind w:firstLine="562"/>
        <w:rPr>
          <w:highlight w:val="none"/>
        </w:rPr>
      </w:pPr>
      <w:bookmarkStart w:id="26" w:name="_Toc38974689"/>
      <w:bookmarkStart w:id="27" w:name="_Toc40046030"/>
      <w:r>
        <w:rPr>
          <w:highlight w:val="none"/>
        </w:rPr>
        <w:t>1</w:t>
      </w:r>
      <w:r>
        <w:rPr>
          <w:rFonts w:hint="eastAsia"/>
          <w:highlight w:val="none"/>
        </w:rPr>
        <w:t>、预算执行率</w:t>
      </w:r>
      <w:bookmarkEnd w:id="26"/>
      <w:bookmarkEnd w:id="27"/>
    </w:p>
    <w:tbl>
      <w:tblPr>
        <w:tblStyle w:val="17"/>
        <w:tblW w:w="8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1701"/>
        <w:gridCol w:w="1417"/>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56" w:type="dxa"/>
            <w:shd w:val="clear" w:color="auto" w:fill="auto"/>
            <w:vAlign w:val="center"/>
          </w:tcPr>
          <w:p>
            <w:pPr>
              <w:widowControl/>
              <w:spacing w:line="240" w:lineRule="auto"/>
              <w:ind w:firstLine="0" w:firstLineChars="0"/>
              <w:jc w:val="center"/>
              <w:rPr>
                <w:rFonts w:hAnsi="宋体" w:cs="宋体"/>
                <w:b/>
                <w:bCs/>
                <w:color w:val="000000"/>
                <w:kern w:val="0"/>
                <w:sz w:val="24"/>
                <w:szCs w:val="24"/>
                <w:highlight w:val="none"/>
              </w:rPr>
            </w:pPr>
            <w:r>
              <w:rPr>
                <w:rFonts w:hint="eastAsia" w:hAnsi="宋体" w:cs="宋体"/>
                <w:b/>
                <w:bCs/>
                <w:color w:val="000000"/>
                <w:kern w:val="0"/>
                <w:sz w:val="24"/>
                <w:szCs w:val="24"/>
                <w:highlight w:val="none"/>
              </w:rPr>
              <w:t>一级指标</w:t>
            </w:r>
          </w:p>
        </w:tc>
        <w:tc>
          <w:tcPr>
            <w:tcW w:w="1701" w:type="dxa"/>
            <w:shd w:val="clear" w:color="auto" w:fill="auto"/>
            <w:vAlign w:val="center"/>
          </w:tcPr>
          <w:p>
            <w:pPr>
              <w:widowControl/>
              <w:spacing w:line="240" w:lineRule="auto"/>
              <w:ind w:firstLine="0" w:firstLineChars="0"/>
              <w:jc w:val="center"/>
              <w:rPr>
                <w:rFonts w:hAnsi="宋体" w:cs="宋体"/>
                <w:b/>
                <w:bCs/>
                <w:color w:val="000000"/>
                <w:kern w:val="0"/>
                <w:sz w:val="24"/>
                <w:szCs w:val="24"/>
                <w:highlight w:val="none"/>
              </w:rPr>
            </w:pPr>
            <w:r>
              <w:rPr>
                <w:rFonts w:hint="eastAsia" w:hAnsi="宋体" w:cs="宋体"/>
                <w:b/>
                <w:bCs/>
                <w:color w:val="000000"/>
                <w:kern w:val="0"/>
                <w:sz w:val="24"/>
                <w:szCs w:val="24"/>
                <w:highlight w:val="none"/>
              </w:rPr>
              <w:t>分值</w:t>
            </w:r>
          </w:p>
        </w:tc>
        <w:tc>
          <w:tcPr>
            <w:tcW w:w="1417" w:type="dxa"/>
            <w:shd w:val="clear" w:color="auto" w:fill="auto"/>
            <w:vAlign w:val="center"/>
          </w:tcPr>
          <w:p>
            <w:pPr>
              <w:widowControl/>
              <w:spacing w:line="240" w:lineRule="auto"/>
              <w:ind w:firstLine="0" w:firstLineChars="0"/>
              <w:jc w:val="center"/>
              <w:rPr>
                <w:rFonts w:hAnsi="宋体" w:cs="宋体"/>
                <w:b/>
                <w:bCs/>
                <w:color w:val="000000"/>
                <w:kern w:val="0"/>
                <w:sz w:val="24"/>
                <w:szCs w:val="24"/>
                <w:highlight w:val="none"/>
              </w:rPr>
            </w:pPr>
            <w:r>
              <w:rPr>
                <w:rFonts w:hint="eastAsia" w:hAnsi="宋体" w:cs="宋体"/>
                <w:b/>
                <w:bCs/>
                <w:color w:val="000000"/>
                <w:kern w:val="0"/>
                <w:sz w:val="24"/>
                <w:szCs w:val="24"/>
                <w:highlight w:val="none"/>
              </w:rPr>
              <w:t>得分</w:t>
            </w:r>
          </w:p>
        </w:tc>
        <w:tc>
          <w:tcPr>
            <w:tcW w:w="1890" w:type="dxa"/>
            <w:shd w:val="clear" w:color="auto" w:fill="auto"/>
            <w:vAlign w:val="center"/>
          </w:tcPr>
          <w:p>
            <w:pPr>
              <w:widowControl/>
              <w:spacing w:line="240" w:lineRule="auto"/>
              <w:ind w:firstLine="0" w:firstLineChars="0"/>
              <w:jc w:val="center"/>
              <w:rPr>
                <w:rFonts w:hAnsi="宋体" w:cs="宋体"/>
                <w:b/>
                <w:bCs/>
                <w:color w:val="000000"/>
                <w:kern w:val="0"/>
                <w:sz w:val="24"/>
                <w:szCs w:val="24"/>
                <w:highlight w:val="none"/>
              </w:rPr>
            </w:pPr>
            <w:r>
              <w:rPr>
                <w:rFonts w:hint="eastAsia" w:hAnsi="宋体" w:cs="宋体"/>
                <w:b/>
                <w:bCs/>
                <w:color w:val="000000"/>
                <w:kern w:val="0"/>
                <w:sz w:val="24"/>
                <w:szCs w:val="24"/>
                <w:highlight w:val="none"/>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6" w:type="dxa"/>
            <w:shd w:val="clear" w:color="auto" w:fill="auto"/>
            <w:vAlign w:val="center"/>
          </w:tcPr>
          <w:p>
            <w:pPr>
              <w:widowControl/>
              <w:spacing w:line="240" w:lineRule="auto"/>
              <w:ind w:firstLine="0" w:firstLineChars="0"/>
              <w:jc w:val="center"/>
              <w:rPr>
                <w:rFonts w:hAnsi="宋体" w:cs="宋体"/>
                <w:color w:val="000000"/>
                <w:kern w:val="0"/>
                <w:sz w:val="24"/>
                <w:szCs w:val="24"/>
                <w:highlight w:val="none"/>
              </w:rPr>
            </w:pPr>
            <w:r>
              <w:rPr>
                <w:rFonts w:hint="eastAsia" w:hAnsi="宋体" w:cs="宋体"/>
                <w:color w:val="000000"/>
                <w:kern w:val="0"/>
                <w:sz w:val="24"/>
                <w:szCs w:val="24"/>
                <w:highlight w:val="none"/>
              </w:rPr>
              <w:t>预算执行率</w:t>
            </w:r>
          </w:p>
        </w:tc>
        <w:tc>
          <w:tcPr>
            <w:tcW w:w="1701" w:type="dxa"/>
            <w:shd w:val="clear" w:color="auto" w:fill="auto"/>
            <w:vAlign w:val="center"/>
          </w:tcPr>
          <w:p>
            <w:pPr>
              <w:widowControl/>
              <w:spacing w:line="240" w:lineRule="auto"/>
              <w:ind w:firstLine="0" w:firstLineChars="0"/>
              <w:jc w:val="center"/>
              <w:rPr>
                <w:rFonts w:hAnsi="宋体" w:cs="宋体"/>
                <w:color w:val="000000"/>
                <w:kern w:val="0"/>
                <w:sz w:val="24"/>
                <w:szCs w:val="24"/>
                <w:highlight w:val="none"/>
              </w:rPr>
            </w:pPr>
            <w:r>
              <w:rPr>
                <w:rFonts w:hint="eastAsia" w:hAnsi="宋体" w:cs="宋体"/>
                <w:color w:val="000000"/>
                <w:kern w:val="0"/>
                <w:sz w:val="24"/>
                <w:szCs w:val="24"/>
                <w:highlight w:val="none"/>
              </w:rPr>
              <w:t>10</w:t>
            </w:r>
          </w:p>
        </w:tc>
        <w:tc>
          <w:tcPr>
            <w:tcW w:w="1417"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9.65</w:t>
            </w:r>
          </w:p>
        </w:tc>
        <w:tc>
          <w:tcPr>
            <w:tcW w:w="1890" w:type="dxa"/>
            <w:shd w:val="clear" w:color="auto" w:fill="auto"/>
            <w:vAlign w:val="center"/>
          </w:tcPr>
          <w:p>
            <w:pPr>
              <w:widowControl/>
              <w:spacing w:line="240" w:lineRule="auto"/>
              <w:ind w:firstLine="0" w:firstLineChars="0"/>
              <w:jc w:val="center"/>
              <w:rPr>
                <w:rFonts w:hAnsi="宋体" w:cs="宋体"/>
                <w:color w:val="000000"/>
                <w:kern w:val="0"/>
                <w:sz w:val="24"/>
                <w:szCs w:val="24"/>
                <w:highlight w:val="none"/>
              </w:rPr>
            </w:pPr>
            <w:r>
              <w:rPr>
                <w:rFonts w:hint="eastAsia" w:hAnsi="宋体" w:cs="宋体"/>
                <w:color w:val="000000"/>
                <w:kern w:val="0"/>
                <w:sz w:val="24"/>
                <w:szCs w:val="24"/>
                <w:highlight w:val="none"/>
                <w:lang w:val="en-US" w:eastAsia="zh-CN"/>
              </w:rPr>
              <w:t>96.54</w:t>
            </w:r>
            <w:r>
              <w:rPr>
                <w:rFonts w:hint="eastAsia" w:hAnsi="宋体" w:cs="宋体"/>
                <w:color w:val="000000"/>
                <w:kern w:val="0"/>
                <w:sz w:val="24"/>
                <w:szCs w:val="24"/>
                <w:highlight w:val="none"/>
              </w:rPr>
              <w:t>%</w:t>
            </w:r>
          </w:p>
        </w:tc>
      </w:tr>
    </w:tbl>
    <w:p>
      <w:pPr>
        <w:ind w:firstLine="560"/>
        <w:rPr>
          <w:rFonts w:hAnsi="宋体"/>
          <w:szCs w:val="28"/>
          <w:highlight w:val="none"/>
        </w:rPr>
      </w:pPr>
      <w:bookmarkStart w:id="28" w:name="_Toc40046031"/>
      <w:r>
        <w:rPr>
          <w:rFonts w:hint="eastAsia" w:hAnsi="宋体"/>
          <w:szCs w:val="28"/>
          <w:highlight w:val="none"/>
        </w:rPr>
        <w:t>我单位20</w:t>
      </w:r>
      <w:r>
        <w:rPr>
          <w:rFonts w:hAnsi="宋体"/>
          <w:szCs w:val="28"/>
          <w:highlight w:val="none"/>
        </w:rPr>
        <w:t>2</w:t>
      </w:r>
      <w:r>
        <w:rPr>
          <w:rFonts w:hint="eastAsia" w:hAnsi="宋体"/>
          <w:szCs w:val="28"/>
          <w:highlight w:val="none"/>
          <w:lang w:val="en-US" w:eastAsia="zh-CN"/>
        </w:rPr>
        <w:t>1</w:t>
      </w:r>
      <w:r>
        <w:rPr>
          <w:rFonts w:hint="eastAsia" w:hAnsi="宋体"/>
          <w:szCs w:val="28"/>
          <w:highlight w:val="none"/>
        </w:rPr>
        <w:t>年年初预算数</w:t>
      </w:r>
      <w:r>
        <w:rPr>
          <w:rFonts w:hint="eastAsia" w:hAnsi="宋体"/>
          <w:szCs w:val="28"/>
          <w:highlight w:val="none"/>
          <w:lang w:val="en-US" w:eastAsia="zh-CN"/>
        </w:rPr>
        <w:t>780.57</w:t>
      </w:r>
      <w:r>
        <w:rPr>
          <w:rFonts w:hint="eastAsia" w:hAnsi="宋体"/>
          <w:szCs w:val="28"/>
          <w:highlight w:val="none"/>
        </w:rPr>
        <w:t>万元，全年预算数</w:t>
      </w:r>
      <w:r>
        <w:rPr>
          <w:rFonts w:hint="eastAsia" w:hAnsi="宋体"/>
          <w:szCs w:val="28"/>
          <w:highlight w:val="none"/>
          <w:lang w:val="en-US" w:eastAsia="zh-CN"/>
        </w:rPr>
        <w:t>778.19</w:t>
      </w:r>
      <w:r>
        <w:rPr>
          <w:rFonts w:hint="eastAsia" w:hAnsi="宋体"/>
          <w:szCs w:val="28"/>
          <w:highlight w:val="none"/>
        </w:rPr>
        <w:t>万元，全年执行数</w:t>
      </w:r>
      <w:r>
        <w:rPr>
          <w:rFonts w:hint="eastAsia" w:hAnsi="宋体"/>
          <w:szCs w:val="28"/>
          <w:highlight w:val="none"/>
          <w:lang w:val="en-US" w:eastAsia="zh-CN"/>
        </w:rPr>
        <w:t>751.23</w:t>
      </w:r>
      <w:r>
        <w:rPr>
          <w:rFonts w:hint="eastAsia" w:hAnsi="宋体"/>
          <w:szCs w:val="28"/>
          <w:highlight w:val="none"/>
        </w:rPr>
        <w:t>万元，预算执行率</w:t>
      </w:r>
      <w:r>
        <w:rPr>
          <w:rFonts w:hint="eastAsia" w:hAnsi="宋体"/>
          <w:szCs w:val="28"/>
          <w:highlight w:val="none"/>
          <w:lang w:val="en-US" w:eastAsia="zh-CN"/>
        </w:rPr>
        <w:t>96.54</w:t>
      </w:r>
      <w:r>
        <w:rPr>
          <w:rFonts w:hint="eastAsia" w:hAnsi="宋体"/>
          <w:szCs w:val="28"/>
          <w:highlight w:val="none"/>
        </w:rPr>
        <w:t>%。</w:t>
      </w:r>
    </w:p>
    <w:p>
      <w:pPr>
        <w:pStyle w:val="4"/>
        <w:ind w:firstLine="562"/>
        <w:rPr>
          <w:highlight w:val="none"/>
        </w:rPr>
      </w:pPr>
      <w:r>
        <w:rPr>
          <w:rFonts w:hint="eastAsia"/>
          <w:highlight w:val="none"/>
        </w:rPr>
        <w:t>2、部门管理</w:t>
      </w:r>
      <w:bookmarkEnd w:id="28"/>
    </w:p>
    <w:p>
      <w:pPr>
        <w:ind w:firstLine="560"/>
        <w:rPr>
          <w:rFonts w:hAnsi="宋体"/>
          <w:szCs w:val="28"/>
          <w:highlight w:val="none"/>
        </w:rPr>
      </w:pPr>
      <w:r>
        <w:rPr>
          <w:rFonts w:hint="eastAsia" w:hAnsi="宋体"/>
          <w:szCs w:val="28"/>
          <w:highlight w:val="none"/>
        </w:rPr>
        <w:t>根据《20</w:t>
      </w:r>
      <w:r>
        <w:rPr>
          <w:rFonts w:hAnsi="宋体"/>
          <w:szCs w:val="28"/>
          <w:highlight w:val="none"/>
        </w:rPr>
        <w:t>2</w:t>
      </w:r>
      <w:r>
        <w:rPr>
          <w:rFonts w:hint="eastAsia" w:hAnsi="宋体"/>
          <w:szCs w:val="28"/>
          <w:highlight w:val="none"/>
          <w:lang w:val="en-US" w:eastAsia="zh-CN"/>
        </w:rPr>
        <w:t>1</w:t>
      </w:r>
      <w:r>
        <w:rPr>
          <w:rFonts w:hint="eastAsia" w:hAnsi="宋体"/>
          <w:szCs w:val="28"/>
          <w:highlight w:val="none"/>
        </w:rPr>
        <w:t>年中国民主同盟甘肃省委员会部门整体支出绩效自评表》，一级指标部门管理下设10个三级共性指标，指标权重合计</w:t>
      </w:r>
      <w:r>
        <w:rPr>
          <w:rFonts w:hint="eastAsia" w:hAnsi="宋体"/>
          <w:szCs w:val="28"/>
          <w:highlight w:val="none"/>
          <w:lang w:val="en-US" w:eastAsia="zh-CN"/>
        </w:rPr>
        <w:t>30</w:t>
      </w:r>
      <w:r>
        <w:rPr>
          <w:rFonts w:hint="eastAsia" w:hAnsi="宋体"/>
          <w:szCs w:val="28"/>
          <w:highlight w:val="none"/>
        </w:rPr>
        <w:t>分，自评得分</w:t>
      </w:r>
      <w:r>
        <w:rPr>
          <w:rFonts w:hint="eastAsia" w:hAnsi="宋体"/>
          <w:szCs w:val="28"/>
          <w:highlight w:val="none"/>
          <w:lang w:val="en-US" w:eastAsia="zh-CN"/>
        </w:rPr>
        <w:t>29.86</w:t>
      </w:r>
      <w:r>
        <w:rPr>
          <w:rFonts w:hint="eastAsia" w:hAnsi="宋体"/>
          <w:szCs w:val="28"/>
          <w:highlight w:val="none"/>
        </w:rPr>
        <w:t>分，得分率为</w:t>
      </w:r>
      <w:r>
        <w:rPr>
          <w:rFonts w:hint="eastAsia" w:hAnsi="宋体"/>
          <w:szCs w:val="28"/>
          <w:highlight w:val="none"/>
          <w:lang w:val="en-US" w:eastAsia="zh-CN"/>
        </w:rPr>
        <w:t>99.53</w:t>
      </w:r>
      <w:r>
        <w:rPr>
          <w:rFonts w:hint="eastAsia" w:hAnsi="宋体"/>
          <w:szCs w:val="28"/>
          <w:highlight w:val="none"/>
        </w:rPr>
        <w:t>%。</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559"/>
        <w:gridCol w:w="1560"/>
        <w:gridCol w:w="850"/>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b/>
                <w:bCs/>
                <w:color w:val="000000"/>
                <w:kern w:val="0"/>
                <w:sz w:val="24"/>
                <w:szCs w:val="24"/>
                <w:highlight w:val="none"/>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b/>
                <w:bCs/>
                <w:color w:val="000000"/>
                <w:kern w:val="0"/>
                <w:sz w:val="24"/>
                <w:szCs w:val="24"/>
                <w:highlight w:val="none"/>
              </w:rPr>
              <w:t>年度指标值</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b/>
                <w:bCs/>
                <w:color w:val="000000"/>
                <w:kern w:val="0"/>
                <w:sz w:val="24"/>
                <w:szCs w:val="24"/>
                <w:highlight w:val="none"/>
              </w:rPr>
              <w:t>实际完成值</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highlight w:val="none"/>
              </w:rPr>
            </w:pPr>
            <w:r>
              <w:rPr>
                <w:rFonts w:hint="eastAsia" w:ascii="仿宋_GB2312" w:hAnsi="宋体" w:eastAsia="仿宋_GB2312" w:cs="宋体"/>
                <w:b/>
                <w:bCs/>
                <w:color w:val="000000"/>
                <w:kern w:val="0"/>
                <w:sz w:val="24"/>
                <w:szCs w:val="24"/>
                <w:highlight w:val="none"/>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b/>
                <w:bCs/>
                <w:color w:val="000000"/>
                <w:kern w:val="0"/>
                <w:sz w:val="24"/>
                <w:szCs w:val="24"/>
                <w:highlight w:val="none"/>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b/>
                <w:bCs/>
                <w:color w:val="000000"/>
                <w:kern w:val="0"/>
                <w:sz w:val="24"/>
                <w:szCs w:val="24"/>
                <w:highlight w:val="none"/>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基本支出预算执行率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96.16</w:t>
            </w:r>
            <w:r>
              <w:rPr>
                <w:rFonts w:hint="eastAsia" w:ascii="仿宋_GB2312" w:hAnsi="宋体" w:eastAsia="仿宋_GB2312" w:cs="宋体"/>
                <w:color w:val="000000"/>
                <w:kern w:val="0"/>
                <w:sz w:val="24"/>
                <w:szCs w:val="24"/>
                <w:highlight w:val="none"/>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highlight w:val="none"/>
                <w:lang w:eastAsia="zh-CN"/>
              </w:rPr>
            </w:pPr>
            <w:r>
              <w:rPr>
                <w:rFonts w:hint="eastAsia" w:ascii="仿宋_GB2312" w:hAnsi="宋体" w:eastAsia="仿宋_GB2312" w:cs="宋体"/>
                <w:color w:val="000000"/>
                <w:kern w:val="0"/>
                <w:sz w:val="24"/>
                <w:szCs w:val="24"/>
                <w:highlight w:val="none"/>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highlight w:val="none"/>
                <w:lang w:val="en-US"/>
              </w:rPr>
            </w:pPr>
            <w:r>
              <w:rPr>
                <w:rFonts w:hint="eastAsia" w:ascii="仿宋_GB2312" w:hAnsi="宋体" w:eastAsia="仿宋_GB2312" w:cs="宋体"/>
                <w:color w:val="000000"/>
                <w:kern w:val="0"/>
                <w:sz w:val="24"/>
                <w:szCs w:val="24"/>
                <w:highlight w:val="none"/>
                <w:lang w:val="en-US" w:eastAsia="zh-CN"/>
              </w:rPr>
              <w:t>2.88</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96</w:t>
            </w:r>
            <w:r>
              <w:rPr>
                <w:rFonts w:hint="eastAsia" w:ascii="仿宋_GB2312" w:hAnsi="宋体" w:eastAsia="仿宋_GB2312" w:cs="宋体"/>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项目支出预算执行率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99.41</w:t>
            </w:r>
            <w:r>
              <w:rPr>
                <w:rFonts w:hint="eastAsia" w:ascii="仿宋_GB2312" w:hAnsi="宋体" w:eastAsia="仿宋_GB2312" w:cs="宋体"/>
                <w:color w:val="000000"/>
                <w:kern w:val="0"/>
                <w:sz w:val="24"/>
                <w:szCs w:val="24"/>
                <w:highlight w:val="none"/>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highlight w:val="none"/>
                <w:lang w:eastAsia="zh-CN"/>
              </w:rPr>
            </w:pPr>
            <w:r>
              <w:rPr>
                <w:rFonts w:hint="eastAsia" w:ascii="仿宋_GB2312" w:hAnsi="宋体" w:eastAsia="仿宋_GB2312" w:cs="宋体"/>
                <w:color w:val="000000"/>
                <w:kern w:val="0"/>
                <w:sz w:val="24"/>
                <w:szCs w:val="24"/>
                <w:highlight w:val="none"/>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highlight w:val="none"/>
                <w:lang w:val="en-US"/>
              </w:rPr>
            </w:pPr>
            <w:r>
              <w:rPr>
                <w:rFonts w:hint="eastAsia" w:ascii="仿宋_GB2312" w:hAnsi="宋体" w:eastAsia="仿宋_GB2312" w:cs="宋体"/>
                <w:color w:val="000000"/>
                <w:kern w:val="0"/>
                <w:sz w:val="24"/>
                <w:szCs w:val="24"/>
                <w:highlight w:val="none"/>
                <w:lang w:val="en-US" w:eastAsia="zh-CN"/>
              </w:rPr>
              <w:t>2.98</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99.33</w:t>
            </w:r>
            <w:r>
              <w:rPr>
                <w:rFonts w:hint="eastAsia" w:ascii="仿宋_GB2312" w:hAnsi="宋体" w:eastAsia="仿宋_GB2312" w:cs="宋体"/>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“三公经费”控制率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100</w:t>
            </w:r>
            <w:r>
              <w:rPr>
                <w:rFonts w:hint="eastAsia" w:ascii="仿宋_GB2312" w:hAnsi="宋体" w:eastAsia="仿宋_GB2312" w:cs="宋体"/>
                <w:color w:val="000000"/>
                <w:kern w:val="0"/>
                <w:sz w:val="24"/>
                <w:szCs w:val="24"/>
                <w:highlight w:val="none"/>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highlight w:val="none"/>
                <w:lang w:eastAsia="zh-CN"/>
              </w:rPr>
            </w:pPr>
            <w:r>
              <w:rPr>
                <w:rFonts w:hint="eastAsia" w:ascii="仿宋_GB2312" w:hAnsi="宋体" w:eastAsia="仿宋_GB2312" w:cs="宋体"/>
                <w:color w:val="000000"/>
                <w:kern w:val="0"/>
                <w:sz w:val="24"/>
                <w:szCs w:val="24"/>
                <w:highlight w:val="none"/>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结转结余变动率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≤0%</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ascii="仿宋_GB2312" w:hAnsi="宋体" w:eastAsia="仿宋_GB2312" w:cs="宋体"/>
                <w:color w:val="000000"/>
                <w:kern w:val="0"/>
                <w:sz w:val="24"/>
                <w:szCs w:val="24"/>
                <w:highlight w:val="none"/>
              </w:rPr>
              <w:t>0</w:t>
            </w:r>
            <w:r>
              <w:rPr>
                <w:rFonts w:hint="eastAsia" w:ascii="仿宋_GB2312" w:hAnsi="宋体" w:eastAsia="仿宋_GB2312" w:cs="宋体"/>
                <w:color w:val="000000"/>
                <w:kern w:val="0"/>
                <w:sz w:val="24"/>
                <w:szCs w:val="24"/>
                <w:highlight w:val="none"/>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highlight w:val="none"/>
                <w:lang w:eastAsia="zh-CN"/>
              </w:rPr>
            </w:pPr>
            <w:r>
              <w:rPr>
                <w:rFonts w:hint="eastAsia" w:ascii="仿宋_GB2312" w:hAnsi="宋体" w:eastAsia="仿宋_GB2312" w:cs="宋体"/>
                <w:color w:val="000000"/>
                <w:kern w:val="0"/>
                <w:sz w:val="24"/>
                <w:szCs w:val="24"/>
                <w:highlight w:val="none"/>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ascii="仿宋_GB2312" w:hAnsi="宋体" w:eastAsia="仿宋_GB2312" w:cs="宋体"/>
                <w:color w:val="000000"/>
                <w:kern w:val="0"/>
                <w:sz w:val="24"/>
                <w:szCs w:val="24"/>
                <w:highlight w:val="none"/>
              </w:rPr>
              <w:t>10</w:t>
            </w:r>
            <w:r>
              <w:rPr>
                <w:rFonts w:hint="eastAsia" w:ascii="仿宋_GB2312" w:hAnsi="宋体" w:eastAsia="仿宋_GB2312" w:cs="宋体"/>
                <w:color w:val="000000"/>
                <w:kern w:val="0"/>
                <w:sz w:val="24"/>
                <w:szCs w:val="24"/>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财务管理制度健全性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健全</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ascii="仿宋_GB2312" w:hAnsi="宋体" w:eastAsia="仿宋_GB2312" w:cs="宋体"/>
                <w:color w:val="000000"/>
                <w:kern w:val="0"/>
                <w:sz w:val="24"/>
                <w:szCs w:val="24"/>
                <w:highlight w:val="none"/>
              </w:rPr>
              <w:t>100</w:t>
            </w:r>
            <w:r>
              <w:rPr>
                <w:rFonts w:hint="eastAsia" w:ascii="仿宋_GB2312" w:hAnsi="宋体" w:eastAsia="仿宋_GB2312" w:cs="宋体"/>
                <w:color w:val="000000"/>
                <w:kern w:val="0"/>
                <w:sz w:val="24"/>
                <w:szCs w:val="24"/>
                <w:highlight w:val="none"/>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highlight w:val="none"/>
                <w:lang w:eastAsia="zh-CN"/>
              </w:rPr>
            </w:pPr>
            <w:r>
              <w:rPr>
                <w:rFonts w:hint="eastAsia" w:ascii="仿宋_GB2312" w:hAnsi="宋体" w:eastAsia="仿宋_GB2312" w:cs="宋体"/>
                <w:color w:val="000000"/>
                <w:kern w:val="0"/>
                <w:sz w:val="24"/>
                <w:szCs w:val="24"/>
                <w:highlight w:val="none"/>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ascii="仿宋_GB2312" w:hAnsi="宋体" w:eastAsia="仿宋_GB2312" w:cs="宋体"/>
                <w:color w:val="000000"/>
                <w:kern w:val="0"/>
                <w:sz w:val="24"/>
                <w:szCs w:val="24"/>
                <w:highlight w:val="none"/>
              </w:rPr>
              <w:t>100</w:t>
            </w:r>
            <w:r>
              <w:rPr>
                <w:rFonts w:hint="eastAsia" w:ascii="仿宋_GB2312" w:hAnsi="宋体" w:eastAsia="仿宋_GB2312" w:cs="宋体"/>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资金使用规范性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规范</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highlight w:val="none"/>
                <w:lang w:eastAsia="zh-CN"/>
              </w:rPr>
            </w:pPr>
            <w:r>
              <w:rPr>
                <w:rFonts w:hint="eastAsia" w:ascii="仿宋_GB2312" w:hAnsi="宋体" w:eastAsia="仿宋_GB2312" w:cs="宋体"/>
                <w:color w:val="000000"/>
                <w:kern w:val="0"/>
                <w:sz w:val="24"/>
                <w:szCs w:val="24"/>
                <w:highlight w:val="none"/>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政府采购规范性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采购管理</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highlight w:val="none"/>
                <w:lang w:eastAsia="zh-CN"/>
              </w:rPr>
            </w:pPr>
            <w:r>
              <w:rPr>
                <w:rFonts w:hint="eastAsia" w:ascii="仿宋_GB2312" w:hAnsi="宋体" w:eastAsia="仿宋_GB2312" w:cs="宋体"/>
                <w:color w:val="000000"/>
                <w:kern w:val="0"/>
                <w:sz w:val="24"/>
                <w:szCs w:val="24"/>
                <w:highlight w:val="none"/>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资产管理规范性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规范</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highlight w:val="none"/>
                <w:lang w:eastAsia="zh-CN"/>
              </w:rPr>
            </w:pPr>
            <w:r>
              <w:rPr>
                <w:rFonts w:hint="eastAsia" w:ascii="仿宋_GB2312" w:hAnsi="宋体" w:eastAsia="仿宋_GB2312" w:cs="宋体"/>
                <w:color w:val="000000"/>
                <w:kern w:val="0"/>
                <w:sz w:val="24"/>
                <w:szCs w:val="24"/>
                <w:highlight w:val="none"/>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在职人员控制率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100</w:t>
            </w:r>
            <w:r>
              <w:rPr>
                <w:rFonts w:hint="eastAsia" w:ascii="仿宋_GB2312" w:hAnsi="宋体" w:eastAsia="仿宋_GB2312" w:cs="宋体"/>
                <w:color w:val="000000"/>
                <w:kern w:val="0"/>
                <w:sz w:val="24"/>
                <w:szCs w:val="24"/>
                <w:highlight w:val="none"/>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highlight w:val="none"/>
                <w:lang w:eastAsia="zh-CN"/>
              </w:rPr>
            </w:pPr>
            <w:r>
              <w:rPr>
                <w:rFonts w:hint="eastAsia" w:ascii="仿宋_GB2312" w:hAnsi="宋体" w:eastAsia="仿宋_GB2312" w:cs="宋体"/>
                <w:color w:val="000000"/>
                <w:kern w:val="0"/>
                <w:sz w:val="24"/>
                <w:szCs w:val="24"/>
                <w:highlight w:val="none"/>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100</w:t>
            </w:r>
            <w:r>
              <w:rPr>
                <w:rFonts w:hint="eastAsia" w:ascii="仿宋_GB2312" w:hAnsi="宋体" w:eastAsia="仿宋_GB2312" w:cs="宋体"/>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重点工作管理制度健全性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健全</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highlight w:val="none"/>
                <w:lang w:eastAsia="zh-CN"/>
              </w:rPr>
            </w:pPr>
            <w:r>
              <w:rPr>
                <w:rFonts w:hint="eastAsia" w:ascii="仿宋_GB2312" w:hAnsi="宋体" w:eastAsia="仿宋_GB2312" w:cs="宋体"/>
                <w:color w:val="000000"/>
                <w:kern w:val="0"/>
                <w:sz w:val="24"/>
                <w:szCs w:val="24"/>
                <w:highlight w:val="none"/>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highlight w:val="none"/>
              </w:rPr>
            </w:pPr>
            <w:r>
              <w:rPr>
                <w:rFonts w:hint="eastAsia" w:ascii="仿宋_GB2312" w:hAnsi="宋体" w:eastAsia="仿宋_GB2312" w:cs="宋体"/>
                <w:color w:val="000000"/>
                <w:kern w:val="0"/>
                <w:sz w:val="24"/>
                <w:szCs w:val="24"/>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24"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highlight w:val="none"/>
              </w:rPr>
            </w:pPr>
            <w:r>
              <w:rPr>
                <w:rFonts w:hint="eastAsia" w:ascii="仿宋_GB2312" w:hAnsi="宋体" w:eastAsia="仿宋_GB2312" w:cs="宋体"/>
                <w:b/>
                <w:bCs/>
                <w:color w:val="000000"/>
                <w:kern w:val="0"/>
                <w:sz w:val="24"/>
                <w:szCs w:val="24"/>
                <w:highlight w:val="none"/>
              </w:rPr>
              <w:t>合计</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b/>
                <w:bCs/>
                <w:color w:val="000000"/>
                <w:kern w:val="0"/>
                <w:sz w:val="24"/>
                <w:szCs w:val="24"/>
                <w:highlight w:val="none"/>
                <w:lang w:val="en-US" w:eastAsia="zh-CN"/>
              </w:rPr>
            </w:pPr>
            <w:r>
              <w:rPr>
                <w:rFonts w:hint="eastAsia" w:ascii="仿宋_GB2312" w:hAnsi="宋体" w:eastAsia="仿宋_GB2312" w:cs="宋体"/>
                <w:b/>
                <w:bCs/>
                <w:color w:val="000000"/>
                <w:kern w:val="0"/>
                <w:sz w:val="24"/>
                <w:szCs w:val="24"/>
                <w:highlight w:val="none"/>
                <w:lang w:val="en-US" w:eastAsia="zh-CN"/>
              </w:rPr>
              <w:t>30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b/>
                <w:bCs/>
                <w:sz w:val="24"/>
                <w:szCs w:val="24"/>
                <w:highlight w:val="none"/>
                <w:lang w:val="en-US" w:eastAsia="zh-CN"/>
              </w:rPr>
            </w:pPr>
            <w:r>
              <w:rPr>
                <w:rFonts w:hint="eastAsia" w:ascii="仿宋_GB2312" w:eastAsia="仿宋_GB2312"/>
                <w:b/>
                <w:bCs/>
                <w:sz w:val="24"/>
                <w:szCs w:val="24"/>
                <w:highlight w:val="none"/>
                <w:lang w:val="en-US" w:eastAsia="zh-CN"/>
              </w:rPr>
              <w:t>29.86</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highlight w:val="none"/>
              </w:rPr>
            </w:pPr>
            <w:r>
              <w:rPr>
                <w:rFonts w:ascii="仿宋_GB2312" w:hAnsi="宋体" w:eastAsia="仿宋_GB2312" w:cs="宋体"/>
                <w:b/>
                <w:bCs/>
                <w:color w:val="000000"/>
                <w:kern w:val="0"/>
                <w:sz w:val="24"/>
                <w:szCs w:val="24"/>
                <w:highlight w:val="none"/>
              </w:rPr>
              <w:t>9</w:t>
            </w:r>
            <w:r>
              <w:rPr>
                <w:rFonts w:hint="eastAsia" w:ascii="仿宋_GB2312" w:hAnsi="宋体" w:eastAsia="仿宋_GB2312" w:cs="宋体"/>
                <w:b/>
                <w:bCs/>
                <w:color w:val="000000"/>
                <w:kern w:val="0"/>
                <w:sz w:val="24"/>
                <w:szCs w:val="24"/>
                <w:highlight w:val="none"/>
                <w:lang w:val="en-US" w:eastAsia="zh-CN"/>
              </w:rPr>
              <w:t>9.53</w:t>
            </w:r>
            <w:r>
              <w:rPr>
                <w:rFonts w:hint="eastAsia" w:ascii="仿宋_GB2312" w:hAnsi="宋体" w:eastAsia="仿宋_GB2312" w:cs="宋体"/>
                <w:b/>
                <w:bCs/>
                <w:color w:val="000000"/>
                <w:kern w:val="0"/>
                <w:sz w:val="24"/>
                <w:szCs w:val="24"/>
                <w:highlight w:val="none"/>
              </w:rPr>
              <w:t>%</w:t>
            </w:r>
          </w:p>
        </w:tc>
      </w:tr>
    </w:tbl>
    <w:p>
      <w:pPr>
        <w:ind w:firstLine="562"/>
        <w:rPr>
          <w:rFonts w:hAnsi="宋体"/>
          <w:szCs w:val="28"/>
          <w:highlight w:val="none"/>
        </w:rPr>
      </w:pPr>
      <w:r>
        <w:rPr>
          <w:rFonts w:hint="eastAsia" w:hAnsi="宋体"/>
          <w:b/>
          <w:bCs/>
          <w:szCs w:val="28"/>
          <w:highlight w:val="none"/>
        </w:rPr>
        <w:t>基本支出预算执行率：</w:t>
      </w:r>
      <w:r>
        <w:rPr>
          <w:rFonts w:hint="eastAsia" w:hAnsi="宋体"/>
          <w:szCs w:val="28"/>
          <w:highlight w:val="none"/>
        </w:rPr>
        <w:t>20</w:t>
      </w:r>
      <w:r>
        <w:rPr>
          <w:rFonts w:hAnsi="宋体"/>
          <w:szCs w:val="28"/>
          <w:highlight w:val="none"/>
        </w:rPr>
        <w:t>2</w:t>
      </w:r>
      <w:r>
        <w:rPr>
          <w:rFonts w:hint="eastAsia" w:hAnsi="宋体"/>
          <w:szCs w:val="28"/>
          <w:highlight w:val="none"/>
          <w:lang w:val="en-US" w:eastAsia="zh-CN"/>
        </w:rPr>
        <w:t>1</w:t>
      </w:r>
      <w:r>
        <w:rPr>
          <w:rFonts w:hint="eastAsia" w:hAnsi="宋体"/>
          <w:szCs w:val="28"/>
          <w:highlight w:val="none"/>
        </w:rPr>
        <w:t>年度基本支出全年预算数</w:t>
      </w:r>
      <w:r>
        <w:rPr>
          <w:rFonts w:hint="eastAsia" w:hAnsi="宋体"/>
          <w:szCs w:val="28"/>
          <w:highlight w:val="none"/>
          <w:lang w:val="en-US" w:eastAsia="zh-CN"/>
        </w:rPr>
        <w:t>688.19</w:t>
      </w:r>
      <w:r>
        <w:rPr>
          <w:rFonts w:hint="eastAsia" w:hAnsi="宋体"/>
          <w:szCs w:val="28"/>
          <w:highlight w:val="none"/>
        </w:rPr>
        <w:t>万元，实际支出数</w:t>
      </w:r>
      <w:r>
        <w:rPr>
          <w:rFonts w:hint="eastAsia" w:hAnsi="宋体"/>
          <w:szCs w:val="28"/>
          <w:highlight w:val="none"/>
          <w:lang w:val="en-US" w:eastAsia="zh-CN"/>
        </w:rPr>
        <w:t>661.76</w:t>
      </w:r>
      <w:r>
        <w:rPr>
          <w:rFonts w:hint="eastAsia" w:hAnsi="宋体"/>
          <w:szCs w:val="28"/>
          <w:highlight w:val="none"/>
        </w:rPr>
        <w:t>万元，基本支出预算执行率为</w:t>
      </w:r>
      <w:r>
        <w:rPr>
          <w:rFonts w:hint="eastAsia" w:hAnsi="宋体"/>
          <w:szCs w:val="28"/>
          <w:highlight w:val="none"/>
          <w:lang w:val="en-US" w:eastAsia="zh-CN"/>
        </w:rPr>
        <w:t>96.16</w:t>
      </w:r>
      <w:r>
        <w:rPr>
          <w:rFonts w:hint="eastAsia" w:hAnsi="宋体"/>
          <w:szCs w:val="28"/>
          <w:highlight w:val="none"/>
        </w:rPr>
        <w:t>%。指标权重</w:t>
      </w:r>
      <w:r>
        <w:rPr>
          <w:rFonts w:hint="eastAsia" w:hAnsi="宋体"/>
          <w:szCs w:val="28"/>
          <w:highlight w:val="none"/>
          <w:lang w:val="en-US" w:eastAsia="zh-CN"/>
        </w:rPr>
        <w:t>3</w:t>
      </w:r>
      <w:r>
        <w:rPr>
          <w:rFonts w:hint="eastAsia" w:hAnsi="宋体"/>
          <w:szCs w:val="28"/>
          <w:highlight w:val="none"/>
        </w:rPr>
        <w:t>分，自评得分</w:t>
      </w:r>
      <w:r>
        <w:rPr>
          <w:rFonts w:hint="eastAsia" w:hAnsi="宋体"/>
          <w:szCs w:val="28"/>
          <w:highlight w:val="none"/>
          <w:lang w:val="en-US" w:eastAsia="zh-CN"/>
        </w:rPr>
        <w:t>2.88</w:t>
      </w:r>
      <w:r>
        <w:rPr>
          <w:rFonts w:hint="eastAsia" w:hAnsi="宋体"/>
          <w:szCs w:val="28"/>
          <w:highlight w:val="none"/>
        </w:rPr>
        <w:t>分，得分率为</w:t>
      </w:r>
      <w:r>
        <w:rPr>
          <w:rFonts w:hint="eastAsia" w:hAnsi="宋体"/>
          <w:szCs w:val="28"/>
          <w:highlight w:val="none"/>
          <w:lang w:val="en-US" w:eastAsia="zh-CN"/>
        </w:rPr>
        <w:t>96</w:t>
      </w:r>
      <w:r>
        <w:rPr>
          <w:rFonts w:hint="eastAsia" w:hAnsi="宋体"/>
          <w:szCs w:val="28"/>
          <w:highlight w:val="none"/>
        </w:rPr>
        <w:t>%。</w:t>
      </w:r>
    </w:p>
    <w:p>
      <w:pPr>
        <w:ind w:firstLine="562"/>
        <w:rPr>
          <w:rFonts w:hint="eastAsia" w:hAnsi="宋体"/>
          <w:szCs w:val="28"/>
          <w:highlight w:val="none"/>
        </w:rPr>
      </w:pPr>
      <w:r>
        <w:rPr>
          <w:rFonts w:hint="eastAsia" w:hAnsi="宋体"/>
          <w:b/>
          <w:bCs/>
          <w:szCs w:val="28"/>
          <w:highlight w:val="none"/>
        </w:rPr>
        <w:t>项目支出预算执行率：</w:t>
      </w:r>
      <w:r>
        <w:rPr>
          <w:rFonts w:hint="eastAsia" w:hAnsi="宋体"/>
          <w:szCs w:val="28"/>
          <w:highlight w:val="none"/>
        </w:rPr>
        <w:t>202</w:t>
      </w:r>
      <w:r>
        <w:rPr>
          <w:rFonts w:hint="eastAsia" w:hAnsi="宋体"/>
          <w:szCs w:val="28"/>
          <w:highlight w:val="none"/>
          <w:lang w:val="en-US" w:eastAsia="zh-CN"/>
        </w:rPr>
        <w:t>1</w:t>
      </w:r>
      <w:r>
        <w:rPr>
          <w:rFonts w:hint="eastAsia" w:hAnsi="宋体"/>
          <w:szCs w:val="28"/>
          <w:highlight w:val="none"/>
        </w:rPr>
        <w:t>年度项目支出全年预算数</w:t>
      </w:r>
      <w:r>
        <w:rPr>
          <w:rFonts w:hint="eastAsia" w:hAnsi="宋体"/>
          <w:szCs w:val="28"/>
          <w:highlight w:val="none"/>
          <w:lang w:val="en-US" w:eastAsia="zh-CN"/>
        </w:rPr>
        <w:t>90</w:t>
      </w:r>
      <w:r>
        <w:rPr>
          <w:rFonts w:hint="eastAsia" w:hAnsi="宋体"/>
          <w:szCs w:val="28"/>
          <w:highlight w:val="none"/>
        </w:rPr>
        <w:t>万元，实际支出数</w:t>
      </w:r>
      <w:r>
        <w:rPr>
          <w:rFonts w:hint="eastAsia" w:hAnsi="宋体"/>
          <w:szCs w:val="28"/>
          <w:highlight w:val="none"/>
          <w:lang w:val="en-US" w:eastAsia="zh-CN"/>
        </w:rPr>
        <w:t>89.47</w:t>
      </w:r>
      <w:r>
        <w:rPr>
          <w:rFonts w:hint="eastAsia" w:hAnsi="宋体"/>
          <w:szCs w:val="28"/>
          <w:highlight w:val="none"/>
        </w:rPr>
        <w:t>万元，项目支出预算执行率为</w:t>
      </w:r>
      <w:r>
        <w:rPr>
          <w:rFonts w:hint="eastAsia" w:hAnsi="宋体"/>
          <w:szCs w:val="28"/>
          <w:highlight w:val="none"/>
          <w:lang w:val="en-US" w:eastAsia="zh-CN"/>
        </w:rPr>
        <w:t>99.41</w:t>
      </w:r>
      <w:r>
        <w:rPr>
          <w:rFonts w:hint="eastAsia" w:hAnsi="宋体"/>
          <w:szCs w:val="28"/>
          <w:highlight w:val="none"/>
        </w:rPr>
        <w:t>%。指标权重</w:t>
      </w:r>
      <w:r>
        <w:rPr>
          <w:rFonts w:hint="eastAsia" w:hAnsi="宋体"/>
          <w:szCs w:val="28"/>
          <w:highlight w:val="none"/>
          <w:lang w:val="en-US" w:eastAsia="zh-CN"/>
        </w:rPr>
        <w:t>3</w:t>
      </w:r>
      <w:r>
        <w:rPr>
          <w:rFonts w:hint="eastAsia" w:hAnsi="宋体"/>
          <w:szCs w:val="28"/>
          <w:highlight w:val="none"/>
        </w:rPr>
        <w:t>分，自评得分</w:t>
      </w:r>
      <w:r>
        <w:rPr>
          <w:rFonts w:hint="eastAsia" w:hAnsi="宋体"/>
          <w:szCs w:val="28"/>
          <w:highlight w:val="none"/>
          <w:lang w:val="en-US" w:eastAsia="zh-CN"/>
        </w:rPr>
        <w:t>2.98</w:t>
      </w:r>
      <w:r>
        <w:rPr>
          <w:rFonts w:hint="eastAsia" w:hAnsi="宋体"/>
          <w:szCs w:val="28"/>
          <w:highlight w:val="none"/>
        </w:rPr>
        <w:t>分，得分率为</w:t>
      </w:r>
      <w:r>
        <w:rPr>
          <w:rFonts w:hint="eastAsia" w:hAnsi="宋体"/>
          <w:szCs w:val="28"/>
          <w:highlight w:val="none"/>
          <w:lang w:val="en-US" w:eastAsia="zh-CN"/>
        </w:rPr>
        <w:t>99.33</w:t>
      </w:r>
      <w:r>
        <w:rPr>
          <w:rFonts w:hint="eastAsia" w:hAnsi="宋体"/>
          <w:szCs w:val="28"/>
          <w:highlight w:val="none"/>
        </w:rPr>
        <w:t>%。</w:t>
      </w:r>
    </w:p>
    <w:p>
      <w:pPr>
        <w:ind w:firstLine="562"/>
        <w:rPr>
          <w:rFonts w:hAnsi="宋体"/>
          <w:szCs w:val="28"/>
          <w:highlight w:val="none"/>
        </w:rPr>
      </w:pPr>
      <w:r>
        <w:rPr>
          <w:rFonts w:hint="eastAsia" w:hAnsi="宋体"/>
          <w:b/>
          <w:bCs/>
          <w:szCs w:val="28"/>
          <w:highlight w:val="none"/>
        </w:rPr>
        <w:t>“三公经费”控制率：</w:t>
      </w:r>
      <w:r>
        <w:rPr>
          <w:rFonts w:hint="eastAsia" w:hAnsi="宋体"/>
          <w:szCs w:val="28"/>
          <w:highlight w:val="none"/>
        </w:rPr>
        <w:t>202</w:t>
      </w:r>
      <w:r>
        <w:rPr>
          <w:rFonts w:hint="eastAsia" w:hAnsi="宋体"/>
          <w:szCs w:val="28"/>
          <w:highlight w:val="none"/>
          <w:lang w:val="en-US" w:eastAsia="zh-CN"/>
        </w:rPr>
        <w:t>1</w:t>
      </w:r>
      <w:r>
        <w:rPr>
          <w:rFonts w:hint="eastAsia" w:hAnsi="宋体"/>
          <w:szCs w:val="28"/>
          <w:highlight w:val="none"/>
        </w:rPr>
        <w:t>年度“三公经费”预算数</w:t>
      </w:r>
      <w:r>
        <w:rPr>
          <w:rFonts w:hint="eastAsia" w:hAnsi="宋体"/>
          <w:szCs w:val="28"/>
          <w:highlight w:val="none"/>
          <w:lang w:val="en-US" w:eastAsia="zh-CN"/>
        </w:rPr>
        <w:t>9.97</w:t>
      </w:r>
      <w:r>
        <w:rPr>
          <w:rFonts w:hint="eastAsia" w:hAnsi="宋体"/>
          <w:szCs w:val="28"/>
          <w:highlight w:val="none"/>
        </w:rPr>
        <w:t>万元，实际支出数</w:t>
      </w:r>
      <w:r>
        <w:rPr>
          <w:rFonts w:hint="eastAsia" w:hAnsi="宋体"/>
          <w:szCs w:val="28"/>
          <w:highlight w:val="none"/>
          <w:lang w:val="en-US" w:eastAsia="zh-CN"/>
        </w:rPr>
        <w:t>2.94</w:t>
      </w:r>
      <w:r>
        <w:rPr>
          <w:rFonts w:hint="eastAsia" w:hAnsi="宋体"/>
          <w:szCs w:val="28"/>
          <w:highlight w:val="none"/>
        </w:rPr>
        <w:t>万元，“三公经费”控制率为</w:t>
      </w:r>
      <w:r>
        <w:rPr>
          <w:rFonts w:hint="eastAsia" w:hAnsi="宋体"/>
          <w:szCs w:val="28"/>
          <w:highlight w:val="none"/>
          <w:lang w:val="en-US" w:eastAsia="zh-CN"/>
        </w:rPr>
        <w:t>100</w:t>
      </w:r>
      <w:r>
        <w:rPr>
          <w:rFonts w:hint="eastAsia" w:hAnsi="宋体"/>
          <w:szCs w:val="28"/>
          <w:highlight w:val="none"/>
        </w:rPr>
        <w:t>%。</w:t>
      </w:r>
      <w:r>
        <w:rPr>
          <w:rFonts w:hint="eastAsia"/>
          <w:highlight w:val="none"/>
        </w:rPr>
        <w:t>我单位</w:t>
      </w:r>
      <w:r>
        <w:rPr>
          <w:highlight w:val="none"/>
        </w:rPr>
        <w:t>能够按照国家、省市区有关履行节约的规定，对“三公”经费进行</w:t>
      </w:r>
      <w:r>
        <w:rPr>
          <w:rFonts w:hint="eastAsia"/>
          <w:highlight w:val="none"/>
        </w:rPr>
        <w:t>有效</w:t>
      </w:r>
      <w:r>
        <w:rPr>
          <w:highlight w:val="none"/>
        </w:rPr>
        <w:t>控制</w:t>
      </w:r>
      <w:r>
        <w:rPr>
          <w:rFonts w:hint="eastAsia"/>
          <w:highlight w:val="none"/>
        </w:rPr>
        <w:t>。</w:t>
      </w:r>
      <w:r>
        <w:rPr>
          <w:rFonts w:hint="eastAsia" w:hAnsi="宋体"/>
          <w:szCs w:val="28"/>
          <w:highlight w:val="none"/>
        </w:rPr>
        <w:t>指标权重</w:t>
      </w:r>
      <w:r>
        <w:rPr>
          <w:rFonts w:hint="eastAsia" w:hAnsi="宋体"/>
          <w:szCs w:val="28"/>
          <w:highlight w:val="none"/>
          <w:lang w:val="en-US" w:eastAsia="zh-CN"/>
        </w:rPr>
        <w:t>3</w:t>
      </w:r>
      <w:r>
        <w:rPr>
          <w:rFonts w:hint="eastAsia" w:hAnsi="宋体"/>
          <w:szCs w:val="28"/>
          <w:highlight w:val="none"/>
        </w:rPr>
        <w:t>分，自评得分</w:t>
      </w:r>
      <w:r>
        <w:rPr>
          <w:rFonts w:hint="eastAsia" w:hAnsi="宋体"/>
          <w:szCs w:val="28"/>
          <w:highlight w:val="none"/>
          <w:lang w:val="en-US" w:eastAsia="zh-CN"/>
        </w:rPr>
        <w:t>3</w:t>
      </w:r>
      <w:r>
        <w:rPr>
          <w:rFonts w:hint="eastAsia" w:hAnsi="宋体"/>
          <w:szCs w:val="28"/>
          <w:highlight w:val="none"/>
        </w:rPr>
        <w:t>分，得分率为100%。</w:t>
      </w:r>
    </w:p>
    <w:p>
      <w:pPr>
        <w:ind w:firstLine="562"/>
        <w:rPr>
          <w:rFonts w:hAnsi="宋体"/>
          <w:szCs w:val="28"/>
        </w:rPr>
      </w:pPr>
      <w:r>
        <w:rPr>
          <w:rFonts w:hint="eastAsia" w:hAnsi="宋体"/>
          <w:b/>
          <w:bCs/>
          <w:szCs w:val="28"/>
        </w:rPr>
        <w:t>财务管理制度健全性：</w:t>
      </w:r>
      <w:r>
        <w:rPr>
          <w:rFonts w:hint="eastAsia" w:hAnsi="宋体"/>
          <w:szCs w:val="28"/>
        </w:rPr>
        <w:t>我单位制定了《民盟甘肃省委员会机关行政经费管理办法》《民盟甘肃省委员会机关公务接待管理办法》《民盟甘肃省委员会机关公务卡应用管理暂行办法》等财务制度，对资金开支有完备的审批流程和管控手续。大额资金均由党委会研究通过后使用。在预算执行、事项支出、会计核算以及重大事项支出程序等方面不存在不规范现象，无虚列项目支出，截留、挤占、挪用项目资金等情况。指标权重</w:t>
      </w:r>
      <w:r>
        <w:rPr>
          <w:rFonts w:hint="eastAsia" w:hAnsi="宋体"/>
          <w:szCs w:val="28"/>
          <w:lang w:val="en-US" w:eastAsia="zh-CN"/>
        </w:rPr>
        <w:t>3</w:t>
      </w:r>
      <w:r>
        <w:rPr>
          <w:rFonts w:hint="eastAsia" w:hAnsi="宋体"/>
          <w:szCs w:val="28"/>
        </w:rPr>
        <w:t>分，自评得分</w:t>
      </w:r>
      <w:r>
        <w:rPr>
          <w:rFonts w:hint="eastAsia" w:hAnsi="宋体"/>
          <w:szCs w:val="28"/>
          <w:lang w:val="en-US" w:eastAsia="zh-CN"/>
        </w:rPr>
        <w:t>3</w:t>
      </w:r>
      <w:r>
        <w:rPr>
          <w:rFonts w:hint="eastAsia" w:hAnsi="宋体"/>
          <w:szCs w:val="28"/>
        </w:rPr>
        <w:t>分，得分率为</w:t>
      </w:r>
      <w:r>
        <w:rPr>
          <w:rFonts w:hAnsi="宋体"/>
          <w:szCs w:val="28"/>
        </w:rPr>
        <w:t>100</w:t>
      </w:r>
      <w:r>
        <w:rPr>
          <w:rFonts w:hint="eastAsia" w:hAnsi="宋体"/>
          <w:szCs w:val="28"/>
        </w:rPr>
        <w:t>%。</w:t>
      </w:r>
    </w:p>
    <w:p>
      <w:pPr>
        <w:ind w:firstLine="562"/>
        <w:rPr>
          <w:rFonts w:hAnsi="宋体"/>
          <w:szCs w:val="28"/>
        </w:rPr>
      </w:pPr>
      <w:r>
        <w:rPr>
          <w:rFonts w:hint="eastAsia" w:hAnsi="宋体"/>
          <w:b/>
          <w:bCs/>
          <w:szCs w:val="28"/>
        </w:rPr>
        <w:t>资金使用规范性：</w:t>
      </w:r>
      <w:r>
        <w:rPr>
          <w:rFonts w:hint="eastAsia" w:hAnsi="宋体"/>
          <w:szCs w:val="28"/>
        </w:rPr>
        <w:t>资金支出总体上审批程序合规、手续齐全，支出内容符合省财政预算批复规定的用途。指标权重</w:t>
      </w:r>
      <w:r>
        <w:rPr>
          <w:rFonts w:hint="eastAsia" w:hAnsi="宋体"/>
          <w:szCs w:val="28"/>
          <w:lang w:val="en-US" w:eastAsia="zh-CN"/>
        </w:rPr>
        <w:t>3</w:t>
      </w:r>
      <w:r>
        <w:rPr>
          <w:rFonts w:hint="eastAsia" w:hAnsi="宋体"/>
          <w:szCs w:val="28"/>
        </w:rPr>
        <w:t>分，自评得分</w:t>
      </w:r>
      <w:r>
        <w:rPr>
          <w:rFonts w:hint="eastAsia" w:hAnsi="宋体"/>
          <w:szCs w:val="28"/>
          <w:lang w:val="en-US" w:eastAsia="zh-CN"/>
        </w:rPr>
        <w:t>3</w:t>
      </w:r>
      <w:r>
        <w:rPr>
          <w:rFonts w:hint="eastAsia" w:hAnsi="宋体"/>
          <w:szCs w:val="28"/>
        </w:rPr>
        <w:t>分，得分率为100%。</w:t>
      </w:r>
    </w:p>
    <w:p>
      <w:pPr>
        <w:ind w:firstLine="562"/>
        <w:rPr>
          <w:rFonts w:hAnsi="宋体"/>
          <w:szCs w:val="28"/>
        </w:rPr>
      </w:pPr>
      <w:r>
        <w:rPr>
          <w:rFonts w:hint="eastAsia" w:hAnsi="宋体"/>
          <w:b/>
          <w:bCs/>
          <w:szCs w:val="28"/>
        </w:rPr>
        <w:t>政府采购规范性：</w:t>
      </w:r>
      <w:r>
        <w:rPr>
          <w:rFonts w:hint="eastAsia" w:hAnsi="宋体"/>
          <w:szCs w:val="28"/>
        </w:rPr>
        <w:t>采购实际执行情况与采购计划安排无差异，采购业务符合政府采购相关规定。指标权重</w:t>
      </w:r>
      <w:r>
        <w:rPr>
          <w:rFonts w:hint="eastAsia" w:hAnsi="宋体"/>
          <w:szCs w:val="28"/>
          <w:lang w:val="en-US" w:eastAsia="zh-CN"/>
        </w:rPr>
        <w:t>3</w:t>
      </w:r>
      <w:r>
        <w:rPr>
          <w:rFonts w:hint="eastAsia" w:hAnsi="宋体"/>
          <w:szCs w:val="28"/>
        </w:rPr>
        <w:t>分，自评得分</w:t>
      </w:r>
      <w:r>
        <w:rPr>
          <w:rFonts w:hint="eastAsia" w:hAnsi="宋体"/>
          <w:szCs w:val="28"/>
          <w:lang w:val="en-US" w:eastAsia="zh-CN"/>
        </w:rPr>
        <w:t>3</w:t>
      </w:r>
      <w:r>
        <w:rPr>
          <w:rFonts w:hint="eastAsia" w:hAnsi="宋体"/>
          <w:szCs w:val="28"/>
        </w:rPr>
        <w:t>分，得分率为100%。</w:t>
      </w:r>
    </w:p>
    <w:p>
      <w:pPr>
        <w:ind w:firstLine="562"/>
        <w:rPr>
          <w:rFonts w:hAnsi="宋体"/>
          <w:szCs w:val="28"/>
        </w:rPr>
      </w:pPr>
      <w:r>
        <w:rPr>
          <w:rFonts w:hint="eastAsia" w:hAnsi="宋体"/>
          <w:b/>
          <w:bCs/>
          <w:szCs w:val="28"/>
        </w:rPr>
        <w:t>资产管理规范性：</w:t>
      </w:r>
      <w:r>
        <w:rPr>
          <w:rFonts w:hint="eastAsia" w:hAnsi="宋体"/>
          <w:szCs w:val="28"/>
        </w:rPr>
        <w:t>202</w:t>
      </w:r>
      <w:r>
        <w:rPr>
          <w:rFonts w:hint="eastAsia" w:hAnsi="宋体"/>
          <w:szCs w:val="28"/>
          <w:lang w:val="en-US" w:eastAsia="zh-CN"/>
        </w:rPr>
        <w:t>1</w:t>
      </w:r>
      <w:r>
        <w:rPr>
          <w:rFonts w:hint="eastAsia" w:hAnsi="宋体"/>
          <w:szCs w:val="28"/>
        </w:rPr>
        <w:t>年我单位账务和资产卡片数据相符，资产保存完整、使用合规、配置合理、处置规范，资产处置收入能够及时足额上缴财政，资产管理符合我单位制定的《民盟甘肃省委员会机关固定资产管理办法》。指标权重</w:t>
      </w:r>
      <w:r>
        <w:rPr>
          <w:rFonts w:hint="eastAsia" w:hAnsi="宋体"/>
          <w:szCs w:val="28"/>
          <w:lang w:val="en-US" w:eastAsia="zh-CN"/>
        </w:rPr>
        <w:t>3</w:t>
      </w:r>
      <w:r>
        <w:rPr>
          <w:rFonts w:hint="eastAsia" w:hAnsi="宋体"/>
          <w:szCs w:val="28"/>
        </w:rPr>
        <w:t>分，自评得分</w:t>
      </w:r>
      <w:r>
        <w:rPr>
          <w:rFonts w:hint="eastAsia" w:hAnsi="宋体"/>
          <w:szCs w:val="28"/>
          <w:lang w:val="en-US" w:eastAsia="zh-CN"/>
        </w:rPr>
        <w:t>3</w:t>
      </w:r>
      <w:r>
        <w:rPr>
          <w:rFonts w:hint="eastAsia" w:hAnsi="宋体"/>
          <w:szCs w:val="28"/>
        </w:rPr>
        <w:t>分，得分率为</w:t>
      </w:r>
      <w:r>
        <w:rPr>
          <w:rFonts w:hAnsi="宋体"/>
          <w:szCs w:val="28"/>
        </w:rPr>
        <w:t>100</w:t>
      </w:r>
      <w:r>
        <w:rPr>
          <w:rFonts w:hint="eastAsia" w:hAnsi="宋体"/>
          <w:szCs w:val="28"/>
        </w:rPr>
        <w:t>%。</w:t>
      </w:r>
    </w:p>
    <w:p>
      <w:pPr>
        <w:ind w:firstLine="562"/>
        <w:rPr>
          <w:rFonts w:hAnsi="宋体"/>
          <w:szCs w:val="28"/>
        </w:rPr>
      </w:pPr>
      <w:r>
        <w:rPr>
          <w:rFonts w:hint="eastAsia" w:hAnsi="宋体"/>
          <w:b/>
          <w:bCs/>
          <w:szCs w:val="28"/>
        </w:rPr>
        <w:t>在职人员控制率：</w:t>
      </w:r>
      <w:r>
        <w:rPr>
          <w:rFonts w:hint="eastAsia" w:hAnsi="宋体"/>
          <w:szCs w:val="28"/>
        </w:rPr>
        <w:t>人员管理较为规范，单位整体的财政供养人员规模能够有效控制。指标权重</w:t>
      </w:r>
      <w:r>
        <w:rPr>
          <w:rFonts w:hint="eastAsia" w:hAnsi="宋体"/>
          <w:szCs w:val="28"/>
          <w:lang w:val="en-US" w:eastAsia="zh-CN"/>
        </w:rPr>
        <w:t>3</w:t>
      </w:r>
      <w:r>
        <w:rPr>
          <w:rFonts w:hint="eastAsia" w:hAnsi="宋体"/>
          <w:szCs w:val="28"/>
        </w:rPr>
        <w:t>分，自评得分</w:t>
      </w:r>
      <w:r>
        <w:rPr>
          <w:rFonts w:hint="eastAsia" w:hAnsi="宋体"/>
          <w:szCs w:val="28"/>
          <w:lang w:val="en-US" w:eastAsia="zh-CN"/>
        </w:rPr>
        <w:t>3</w:t>
      </w:r>
      <w:r>
        <w:rPr>
          <w:rFonts w:hint="eastAsia" w:hAnsi="宋体"/>
          <w:szCs w:val="28"/>
        </w:rPr>
        <w:t>分，得分率为70%。</w:t>
      </w:r>
      <w:bookmarkStart w:id="29" w:name="_Hlk64882501"/>
    </w:p>
    <w:p>
      <w:pPr>
        <w:ind w:firstLine="562"/>
        <w:rPr>
          <w:rFonts w:hAnsi="宋体"/>
          <w:szCs w:val="28"/>
        </w:rPr>
      </w:pPr>
      <w:r>
        <w:rPr>
          <w:rFonts w:hint="eastAsia" w:hAnsi="宋体"/>
          <w:b/>
          <w:bCs/>
          <w:szCs w:val="28"/>
        </w:rPr>
        <w:t>重点工作管理制度健全性：</w:t>
      </w:r>
      <w:r>
        <w:rPr>
          <w:rFonts w:hint="eastAsia" w:hAnsi="宋体"/>
          <w:szCs w:val="28"/>
        </w:rPr>
        <w:t>我单位针对重点工作，制定了相应的工作管理制度，制度合法、合规、完整，并且能够有效执行和指导重点工作的有效推进和实施。指标权重</w:t>
      </w:r>
      <w:r>
        <w:rPr>
          <w:rFonts w:hint="eastAsia" w:hAnsi="宋体"/>
          <w:szCs w:val="28"/>
          <w:lang w:val="en-US" w:eastAsia="zh-CN"/>
        </w:rPr>
        <w:t>3</w:t>
      </w:r>
      <w:r>
        <w:rPr>
          <w:rFonts w:hint="eastAsia" w:hAnsi="宋体"/>
          <w:szCs w:val="28"/>
        </w:rPr>
        <w:t>分，自评得分</w:t>
      </w:r>
      <w:r>
        <w:rPr>
          <w:rFonts w:hint="eastAsia" w:hAnsi="宋体"/>
          <w:szCs w:val="28"/>
          <w:lang w:val="en-US" w:eastAsia="zh-CN"/>
        </w:rPr>
        <w:t>3</w:t>
      </w:r>
      <w:r>
        <w:rPr>
          <w:rFonts w:hint="eastAsia" w:hAnsi="宋体"/>
          <w:szCs w:val="28"/>
        </w:rPr>
        <w:t>分，得分率为100%。</w:t>
      </w:r>
      <w:bookmarkEnd w:id="29"/>
    </w:p>
    <w:p>
      <w:pPr>
        <w:pStyle w:val="4"/>
        <w:ind w:firstLine="562"/>
      </w:pPr>
      <w:bookmarkStart w:id="30" w:name="_Toc40046032"/>
      <w:r>
        <w:rPr>
          <w:rFonts w:hint="eastAsia"/>
        </w:rPr>
        <w:t>3、履职效果</w:t>
      </w:r>
      <w:bookmarkEnd w:id="30"/>
    </w:p>
    <w:p>
      <w:pPr>
        <w:ind w:firstLine="562"/>
        <w:rPr>
          <w:rFonts w:hAnsi="宋体"/>
          <w:b/>
          <w:bCs/>
          <w:szCs w:val="28"/>
        </w:rPr>
      </w:pPr>
      <w:r>
        <w:rPr>
          <w:rFonts w:hint="eastAsia" w:hAnsi="宋体"/>
          <w:b/>
          <w:bCs/>
          <w:szCs w:val="28"/>
        </w:rPr>
        <w:t>（1）部门履职目标</w:t>
      </w:r>
    </w:p>
    <w:p>
      <w:pPr>
        <w:ind w:firstLine="560"/>
        <w:rPr>
          <w:rFonts w:hAnsi="宋体"/>
          <w:szCs w:val="28"/>
        </w:rPr>
      </w:pPr>
      <w:r>
        <w:rPr>
          <w:rFonts w:hint="eastAsia" w:hAnsi="宋体"/>
          <w:szCs w:val="28"/>
        </w:rPr>
        <w:t>根据部门重点工作任务，二级指标部门履职目标下设3个三级指标。指标权重合计</w:t>
      </w:r>
      <w:r>
        <w:rPr>
          <w:rFonts w:hint="eastAsia" w:hAnsi="宋体"/>
          <w:szCs w:val="28"/>
          <w:lang w:val="en-US" w:eastAsia="zh-CN"/>
        </w:rPr>
        <w:t>18</w:t>
      </w:r>
      <w:r>
        <w:rPr>
          <w:rFonts w:hint="eastAsia" w:hAnsi="宋体"/>
          <w:szCs w:val="28"/>
        </w:rPr>
        <w:t>分，自评得分</w:t>
      </w:r>
      <w:r>
        <w:rPr>
          <w:rFonts w:hint="eastAsia" w:hAnsi="宋体"/>
          <w:szCs w:val="28"/>
          <w:lang w:val="en-US" w:eastAsia="zh-CN"/>
        </w:rPr>
        <w:t>17.4</w:t>
      </w:r>
      <w:r>
        <w:rPr>
          <w:rFonts w:hint="eastAsia" w:hAnsi="宋体"/>
          <w:szCs w:val="28"/>
        </w:rPr>
        <w:t>分，得分率为</w:t>
      </w:r>
      <w:r>
        <w:rPr>
          <w:rFonts w:hint="eastAsia" w:hAnsi="宋体"/>
          <w:szCs w:val="28"/>
          <w:lang w:val="en-US" w:eastAsia="zh-CN"/>
        </w:rPr>
        <w:t>96.67</w:t>
      </w:r>
      <w:r>
        <w:rPr>
          <w:rFonts w:hint="eastAsia" w:hAnsi="宋体"/>
          <w:szCs w:val="28"/>
        </w:rPr>
        <w:t>%。</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621"/>
        <w:gridCol w:w="1781"/>
        <w:gridCol w:w="739"/>
        <w:gridCol w:w="82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62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78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73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2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政治理论学习成效</w:t>
            </w:r>
          </w:p>
        </w:tc>
        <w:tc>
          <w:tcPr>
            <w:tcW w:w="162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强</w:t>
            </w:r>
          </w:p>
        </w:tc>
        <w:tc>
          <w:tcPr>
            <w:tcW w:w="178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73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82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6</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宣传工作水平</w:t>
            </w:r>
          </w:p>
        </w:tc>
        <w:tc>
          <w:tcPr>
            <w:tcW w:w="162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高</w:t>
            </w:r>
          </w:p>
        </w:tc>
        <w:tc>
          <w:tcPr>
            <w:tcW w:w="178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73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82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6</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调查研究质量</w:t>
            </w:r>
          </w:p>
        </w:tc>
        <w:tc>
          <w:tcPr>
            <w:tcW w:w="162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高</w:t>
            </w:r>
          </w:p>
        </w:tc>
        <w:tc>
          <w:tcPr>
            <w:tcW w:w="178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90</w:t>
            </w:r>
            <w:r>
              <w:rPr>
                <w:rFonts w:ascii="仿宋_GB2312" w:hAnsi="宋体" w:eastAsia="仿宋_GB2312" w:cs="宋体"/>
                <w:color w:val="000000"/>
                <w:kern w:val="0"/>
                <w:sz w:val="24"/>
                <w:szCs w:val="24"/>
              </w:rPr>
              <w:t>%</w:t>
            </w:r>
          </w:p>
        </w:tc>
        <w:tc>
          <w:tcPr>
            <w:tcW w:w="73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82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5.4</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90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07"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73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b/>
                <w:bCs/>
                <w:color w:val="000000"/>
                <w:kern w:val="0"/>
                <w:sz w:val="24"/>
                <w:szCs w:val="24"/>
                <w:lang w:val="en-US" w:eastAsia="zh-CN"/>
              </w:rPr>
            </w:pPr>
            <w:r>
              <w:rPr>
                <w:rFonts w:hint="eastAsia" w:ascii="仿宋_GB2312" w:hAnsi="宋体" w:eastAsia="仿宋_GB2312" w:cs="宋体"/>
                <w:b/>
                <w:bCs/>
                <w:color w:val="000000"/>
                <w:kern w:val="0"/>
                <w:sz w:val="24"/>
                <w:szCs w:val="24"/>
                <w:lang w:val="en-US" w:eastAsia="zh-CN"/>
              </w:rPr>
              <w:t>18</w:t>
            </w:r>
          </w:p>
        </w:tc>
        <w:tc>
          <w:tcPr>
            <w:tcW w:w="82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b/>
                <w:bCs/>
                <w:sz w:val="24"/>
                <w:szCs w:val="24"/>
                <w:lang w:val="en-US" w:eastAsia="zh-CN"/>
              </w:rPr>
            </w:pPr>
            <w:r>
              <w:rPr>
                <w:rFonts w:hint="eastAsia" w:ascii="仿宋_GB2312" w:eastAsia="仿宋_GB2312"/>
                <w:b/>
                <w:bCs/>
                <w:sz w:val="24"/>
                <w:szCs w:val="24"/>
                <w:lang w:val="en-US" w:eastAsia="zh-CN"/>
              </w:rPr>
              <w:t>17.4</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lang w:val="en-US" w:eastAsia="zh-CN"/>
              </w:rPr>
              <w:t>96.67</w:t>
            </w:r>
            <w:r>
              <w:rPr>
                <w:rFonts w:hint="eastAsia" w:ascii="仿宋_GB2312" w:hAnsi="宋体" w:eastAsia="仿宋_GB2312" w:cs="宋体"/>
                <w:b/>
                <w:bCs/>
                <w:color w:val="000000"/>
                <w:kern w:val="0"/>
                <w:sz w:val="24"/>
                <w:szCs w:val="24"/>
              </w:rPr>
              <w:t>%</w:t>
            </w:r>
          </w:p>
        </w:tc>
      </w:tr>
    </w:tbl>
    <w:p>
      <w:pPr>
        <w:ind w:firstLine="562"/>
      </w:pPr>
      <w:r>
        <w:rPr>
          <w:rFonts w:hint="eastAsia"/>
          <w:b/>
          <w:bCs/>
        </w:rPr>
        <w:t>政治理论学习成效：</w:t>
      </w:r>
      <w:bookmarkStart w:id="31" w:name="_Hlk62570947"/>
      <w:r>
        <w:rPr>
          <w:rFonts w:hint="eastAsia"/>
        </w:rPr>
        <w:t>我单位及时跟进学习习近平总书记重要讲话指示批示精神，不断深化对习近平新时代中国特色社会主义思想特别是习近平总书记关于加强和改进统一战线工作的重要思想的理解把握，做到思想上对表对标。重点围绕习近平总书记“七一”重要讲话</w:t>
      </w:r>
      <w:r>
        <w:rPr>
          <w:rFonts w:hint="eastAsia"/>
          <w:lang w:eastAsia="zh-CN"/>
        </w:rPr>
        <w:t>，中共</w:t>
      </w:r>
      <w:r>
        <w:rPr>
          <w:rFonts w:hint="eastAsia"/>
        </w:rPr>
        <w:t>十九届</w:t>
      </w:r>
      <w:r>
        <w:rPr>
          <w:rFonts w:hint="eastAsia"/>
          <w:lang w:eastAsia="zh-CN"/>
        </w:rPr>
        <w:t>六</w:t>
      </w:r>
      <w:r>
        <w:rPr>
          <w:rFonts w:hint="eastAsia"/>
        </w:rPr>
        <w:t>中全会</w:t>
      </w:r>
      <w:r>
        <w:rPr>
          <w:rFonts w:hint="eastAsia"/>
          <w:lang w:eastAsia="zh-CN"/>
        </w:rPr>
        <w:t>，民盟十二届五中全会</w:t>
      </w:r>
      <w:r>
        <w:rPr>
          <w:rFonts w:hint="eastAsia"/>
        </w:rPr>
        <w:t>及</w:t>
      </w:r>
      <w:r>
        <w:rPr>
          <w:rFonts w:hint="eastAsia"/>
          <w:lang w:eastAsia="zh-CN"/>
        </w:rPr>
        <w:t>中共甘肃</w:t>
      </w:r>
      <w:r>
        <w:rPr>
          <w:rFonts w:hint="eastAsia"/>
        </w:rPr>
        <w:t>省委十</w:t>
      </w:r>
      <w:r>
        <w:rPr>
          <w:rFonts w:hint="eastAsia"/>
          <w:lang w:eastAsia="zh-CN"/>
        </w:rPr>
        <w:t>三</w:t>
      </w:r>
      <w:r>
        <w:rPr>
          <w:rFonts w:hint="eastAsia"/>
        </w:rPr>
        <w:t>届十</w:t>
      </w:r>
      <w:r>
        <w:rPr>
          <w:rFonts w:hint="eastAsia"/>
          <w:lang w:eastAsia="zh-CN"/>
        </w:rPr>
        <w:t>五</w:t>
      </w:r>
      <w:r>
        <w:rPr>
          <w:rFonts w:hint="eastAsia"/>
        </w:rPr>
        <w:t>次全会</w:t>
      </w:r>
      <w:r>
        <w:rPr>
          <w:rFonts w:hint="eastAsia"/>
          <w:lang w:eastAsia="zh-CN"/>
        </w:rPr>
        <w:t>暨省委经济工作会议</w:t>
      </w:r>
      <w:r>
        <w:rPr>
          <w:rFonts w:hint="eastAsia"/>
        </w:rPr>
        <w:t>决策部署，有计划、分专题研讨交流，细化贯彻举措，做到落实上坚定坚决。</w:t>
      </w:r>
      <w:r>
        <w:rPr>
          <w:rFonts w:hint="eastAsia"/>
          <w:lang w:eastAsia="zh-CN"/>
        </w:rPr>
        <w:t>紧紧抓住参政党建设中长期存在的难点问题开展研究，中标民盟中央《中国共产党领导的多党合作和政治协商制度的特点和优势》理论课题，完成《新型政党制度与民盟》第五章“新型政党制度的理论基础和思想资源”撰写工作，做到履职上求深求实。</w:t>
      </w:r>
      <w:r>
        <w:rPr>
          <w:rFonts w:hint="eastAsia"/>
        </w:rPr>
        <w:t>一年来，</w:t>
      </w:r>
      <w:r>
        <w:rPr>
          <w:rFonts w:hint="eastAsia"/>
          <w:lang w:eastAsia="zh-CN"/>
        </w:rPr>
        <w:t>组织主委会议、常委会议</w:t>
      </w:r>
      <w:r>
        <w:rPr>
          <w:rFonts w:hint="eastAsia"/>
        </w:rPr>
        <w:t>集中学习</w:t>
      </w:r>
      <w:r>
        <w:rPr>
          <w:rFonts w:hint="eastAsia"/>
          <w:lang w:val="en-US" w:eastAsia="zh-CN"/>
        </w:rPr>
        <w:t>9</w:t>
      </w:r>
      <w:r>
        <w:rPr>
          <w:rFonts w:hint="eastAsia"/>
        </w:rPr>
        <w:t>次</w:t>
      </w:r>
      <w:r>
        <w:rPr>
          <w:rFonts w:hint="eastAsia"/>
          <w:lang w:eastAsia="zh-CN"/>
        </w:rPr>
        <w:t>，机关学习</w:t>
      </w:r>
      <w:r>
        <w:rPr>
          <w:rFonts w:hint="eastAsia"/>
          <w:lang w:val="en-US" w:eastAsia="zh-CN"/>
        </w:rPr>
        <w:t>68次、</w:t>
      </w:r>
      <w:r>
        <w:rPr>
          <w:rFonts w:hint="eastAsia"/>
          <w:lang w:eastAsia="zh-CN"/>
        </w:rPr>
        <w:t>研讨</w:t>
      </w:r>
      <w:r>
        <w:rPr>
          <w:rFonts w:hint="eastAsia"/>
          <w:lang w:val="en-US" w:eastAsia="zh-CN"/>
        </w:rPr>
        <w:t>11次，</w:t>
      </w:r>
      <w:r>
        <w:rPr>
          <w:rFonts w:hint="eastAsia"/>
          <w:lang w:eastAsia="zh-CN"/>
        </w:rPr>
        <w:t>青年理论学习小组活动</w:t>
      </w:r>
      <w:r>
        <w:rPr>
          <w:rFonts w:hint="eastAsia"/>
          <w:lang w:val="en-US" w:eastAsia="zh-CN"/>
        </w:rPr>
        <w:t>11次</w:t>
      </w:r>
      <w:r>
        <w:rPr>
          <w:rFonts w:hint="eastAsia"/>
        </w:rPr>
        <w:t>，领悟新思想、领略新成就，更加深切感受到中国共产党领导和中国特色社会主义制度的显著优势，进一步筑牢了共同思想</w:t>
      </w:r>
      <w:r>
        <w:rPr>
          <w:rFonts w:hint="eastAsia"/>
          <w:lang w:eastAsia="zh-CN"/>
        </w:rPr>
        <w:t>政治基础。</w:t>
      </w:r>
      <w:r>
        <w:rPr>
          <w:rFonts w:hint="eastAsia"/>
        </w:rPr>
        <w:t>指标权重</w:t>
      </w:r>
      <w:r>
        <w:rPr>
          <w:rFonts w:hint="eastAsia"/>
          <w:lang w:val="en-US" w:eastAsia="zh-CN"/>
        </w:rPr>
        <w:t>6</w:t>
      </w:r>
      <w:r>
        <w:rPr>
          <w:rFonts w:hint="eastAsia"/>
        </w:rPr>
        <w:t>分，自评得分</w:t>
      </w:r>
      <w:r>
        <w:rPr>
          <w:rFonts w:hint="eastAsia"/>
          <w:lang w:val="en-US" w:eastAsia="zh-CN"/>
        </w:rPr>
        <w:t>6</w:t>
      </w:r>
      <w:r>
        <w:rPr>
          <w:rFonts w:hint="eastAsia"/>
        </w:rPr>
        <w:t>分，得分率1</w:t>
      </w:r>
      <w:r>
        <w:t>00</w:t>
      </w:r>
      <w:r>
        <w:rPr>
          <w:rFonts w:hint="eastAsia"/>
        </w:rPr>
        <w:t>%。</w:t>
      </w:r>
    </w:p>
    <w:bookmarkEnd w:id="31"/>
    <w:p>
      <w:pPr>
        <w:ind w:firstLine="562" w:firstLineChars="200"/>
        <w:rPr>
          <w:rFonts w:hint="eastAsia"/>
        </w:rPr>
      </w:pPr>
      <w:r>
        <w:rPr>
          <w:rFonts w:hint="eastAsia"/>
          <w:b/>
          <w:bCs/>
        </w:rPr>
        <w:t>宣传工作水平：</w:t>
      </w:r>
      <w:r>
        <w:rPr>
          <w:rFonts w:hint="eastAsia"/>
          <w:lang w:eastAsia="zh-CN"/>
        </w:rPr>
        <w:t>我单位</w:t>
      </w:r>
      <w:r>
        <w:rPr>
          <w:rFonts w:hint="eastAsia"/>
          <w:lang w:val="en-US" w:eastAsia="zh-CN"/>
        </w:rPr>
        <w:t>继续推进“</w:t>
      </w:r>
      <w:r>
        <w:rPr>
          <w:rFonts w:hint="eastAsia"/>
          <w:lang w:eastAsia="zh-CN"/>
        </w:rPr>
        <w:t>一微一网一刊</w:t>
      </w:r>
      <w:r>
        <w:rPr>
          <w:rFonts w:hint="eastAsia"/>
          <w:lang w:val="en-US" w:eastAsia="zh-CN"/>
        </w:rPr>
        <w:t>”建设。加大</w:t>
      </w:r>
      <w:r>
        <w:rPr>
          <w:rFonts w:hint="eastAsia"/>
          <w:lang w:eastAsia="zh-CN"/>
        </w:rPr>
        <w:t>微信公众号编播推送力度，聚焦党史学习教育、学习总书记“七一”讲话等专题，推出“党史教育”“学讲话</w:t>
      </w:r>
      <w:r>
        <w:rPr>
          <w:rFonts w:hint="eastAsia"/>
          <w:lang w:val="en-US" w:eastAsia="zh-CN"/>
        </w:rPr>
        <w:t>·</w:t>
      </w:r>
      <w:r>
        <w:rPr>
          <w:rFonts w:hint="eastAsia"/>
          <w:lang w:eastAsia="zh-CN"/>
        </w:rPr>
        <w:t>谈心得”连载；围绕民盟成立80周年，推出“民盟80年·心声”“我与民盟”，抒发盟员对民盟的真挚情感。发挥网站内容及时、全面、丰富等优势，加大对基层组织活动的宣传报道力度，拓展报道内容详实度与层次感。</w:t>
      </w:r>
      <w:r>
        <w:rPr>
          <w:rFonts w:hint="eastAsia"/>
          <w:lang w:val="en-US" w:eastAsia="zh-CN"/>
        </w:rPr>
        <w:t>发挥</w:t>
      </w:r>
      <w:r>
        <w:rPr>
          <w:rFonts w:hint="eastAsia"/>
          <w:lang w:eastAsia="zh-CN"/>
        </w:rPr>
        <w:t>《甘肃盟讯》覆盖面广、老年盟员关注度高的特点，调整版面规划与内容设计，推出“工作巡礼”“事迹展播”等专栏，推介履职实践的重大成果和代表性人士的履职风采。人民政协报、中央盟讯、甘肃电视台、甘肃日报、民主协商报等中央和省级媒体发表主要领导署名文章和甘肃民盟履职情况的宣传报道</w:t>
      </w:r>
      <w:r>
        <w:rPr>
          <w:rFonts w:hint="eastAsia"/>
          <w:lang w:val="en-US" w:eastAsia="zh-CN"/>
        </w:rPr>
        <w:t>241</w:t>
      </w:r>
      <w:r>
        <w:rPr>
          <w:rFonts w:hint="eastAsia"/>
          <w:lang w:eastAsia="zh-CN"/>
        </w:rPr>
        <w:t>篇，社会各界对民盟参政履职情况有了更及时更直观地了解。</w:t>
      </w:r>
      <w:r>
        <w:rPr>
          <w:rFonts w:hint="eastAsia"/>
        </w:rPr>
        <w:t>指标权重</w:t>
      </w:r>
      <w:r>
        <w:rPr>
          <w:rFonts w:hint="eastAsia"/>
          <w:lang w:val="en-US" w:eastAsia="zh-CN"/>
        </w:rPr>
        <w:t>6</w:t>
      </w:r>
      <w:r>
        <w:rPr>
          <w:rFonts w:hint="eastAsia"/>
        </w:rPr>
        <w:t>分，自评得分</w:t>
      </w:r>
      <w:r>
        <w:rPr>
          <w:rFonts w:hint="eastAsia"/>
          <w:lang w:val="en-US" w:eastAsia="zh-CN"/>
        </w:rPr>
        <w:t>6</w:t>
      </w:r>
      <w:r>
        <w:rPr>
          <w:rFonts w:hint="eastAsia"/>
        </w:rPr>
        <w:t>分，得分率100%。</w:t>
      </w:r>
    </w:p>
    <w:p>
      <w:pPr>
        <w:ind w:firstLine="562"/>
      </w:pPr>
      <w:r>
        <w:rPr>
          <w:rFonts w:hint="eastAsia"/>
          <w:b/>
          <w:bCs/>
        </w:rPr>
        <w:t>调查研究质量：</w:t>
      </w:r>
      <w:r>
        <w:rPr>
          <w:rFonts w:hint="eastAsia"/>
          <w:lang w:val="en-US" w:eastAsia="zh-CN"/>
        </w:rPr>
        <w:t>我单位</w:t>
      </w:r>
      <w:r>
        <w:rPr>
          <w:rFonts w:hint="eastAsia"/>
          <w:lang w:eastAsia="zh-CN"/>
        </w:rPr>
        <w:t>启动实施黄河流域生态保护和高质量发展战略专项民主监督，</w:t>
      </w:r>
      <w:r>
        <w:rPr>
          <w:rFonts w:hint="eastAsia"/>
        </w:rPr>
        <w:t>领导</w:t>
      </w:r>
      <w:r>
        <w:rPr>
          <w:rFonts w:hint="eastAsia"/>
          <w:lang w:eastAsia="zh-CN"/>
        </w:rPr>
        <w:t>班子成员先后</w:t>
      </w:r>
      <w:r>
        <w:rPr>
          <w:rFonts w:hint="eastAsia"/>
          <w:lang w:val="en-US" w:eastAsia="zh-CN"/>
        </w:rPr>
        <w:t>3次</w:t>
      </w:r>
      <w:r>
        <w:rPr>
          <w:rFonts w:hint="eastAsia"/>
        </w:rPr>
        <w:t>带队赴</w:t>
      </w:r>
      <w:r>
        <w:rPr>
          <w:rFonts w:hint="eastAsia"/>
          <w:lang w:eastAsia="zh-CN"/>
        </w:rPr>
        <w:t>甘南州、甘肃省文旅厅开展</w:t>
      </w:r>
      <w:r>
        <w:rPr>
          <w:rFonts w:hint="eastAsia"/>
        </w:rPr>
        <w:t>调研，</w:t>
      </w:r>
      <w:r>
        <w:rPr>
          <w:rFonts w:hint="eastAsia"/>
          <w:lang w:eastAsia="zh-CN"/>
        </w:rPr>
        <w:t>聚焦生态保护、高质量发展、文化传承保护</w:t>
      </w:r>
      <w:r>
        <w:rPr>
          <w:rFonts w:hint="eastAsia"/>
        </w:rPr>
        <w:t>等重点领域问题，向</w:t>
      </w:r>
      <w:r>
        <w:rPr>
          <w:rFonts w:hint="eastAsia"/>
          <w:lang w:eastAsia="zh-CN"/>
        </w:rPr>
        <w:t>甘南州</w:t>
      </w:r>
      <w:r>
        <w:rPr>
          <w:rFonts w:hint="eastAsia"/>
        </w:rPr>
        <w:t>方面反馈</w:t>
      </w:r>
      <w:r>
        <w:rPr>
          <w:rFonts w:hint="eastAsia"/>
          <w:lang w:val="en-US" w:eastAsia="zh-CN"/>
        </w:rPr>
        <w:t>4</w:t>
      </w:r>
      <w:r>
        <w:rPr>
          <w:rFonts w:hint="eastAsia"/>
        </w:rPr>
        <w:t>大方面</w:t>
      </w:r>
      <w:r>
        <w:rPr>
          <w:rFonts w:hint="eastAsia"/>
          <w:lang w:val="en-US" w:eastAsia="zh-CN"/>
        </w:rPr>
        <w:t>15</w:t>
      </w:r>
      <w:r>
        <w:rPr>
          <w:rFonts w:hint="eastAsia"/>
        </w:rPr>
        <w:t>个问题，提出意见建议</w:t>
      </w:r>
      <w:r>
        <w:rPr>
          <w:rFonts w:hint="eastAsia"/>
          <w:lang w:val="en-US" w:eastAsia="zh-CN"/>
        </w:rPr>
        <w:t>3</w:t>
      </w:r>
      <w:r>
        <w:rPr>
          <w:rFonts w:hint="eastAsia"/>
        </w:rPr>
        <w:t>0余条。</w:t>
      </w:r>
      <w:r>
        <w:rPr>
          <w:rFonts w:hint="eastAsia"/>
          <w:lang w:eastAsia="zh-CN"/>
        </w:rPr>
        <w:t>后续</w:t>
      </w:r>
      <w:r>
        <w:rPr>
          <w:rFonts w:hint="eastAsia"/>
        </w:rPr>
        <w:t>继续实施各基层组织上下联动、横向互动调研，坚持以质量为先的要求，认真制定调研计划，扎实开展调研，探索创新参政议政调研工作机制，为政府相关工作提供切实可行的意见建议。指标权重</w:t>
      </w:r>
      <w:r>
        <w:rPr>
          <w:rFonts w:hint="eastAsia"/>
          <w:lang w:val="en-US" w:eastAsia="zh-CN"/>
        </w:rPr>
        <w:t>6</w:t>
      </w:r>
      <w:r>
        <w:rPr>
          <w:rFonts w:hint="eastAsia"/>
        </w:rPr>
        <w:t>分，自评得分</w:t>
      </w:r>
      <w:r>
        <w:rPr>
          <w:rFonts w:hint="eastAsia"/>
          <w:lang w:val="en-US" w:eastAsia="zh-CN"/>
        </w:rPr>
        <w:t>5.4</w:t>
      </w:r>
      <w:r>
        <w:rPr>
          <w:rFonts w:hint="eastAsia"/>
        </w:rPr>
        <w:t>分，得分率</w:t>
      </w:r>
      <w:r>
        <w:rPr>
          <w:rFonts w:hint="eastAsia"/>
          <w:lang w:val="en-US" w:eastAsia="zh-CN"/>
        </w:rPr>
        <w:t>90</w:t>
      </w:r>
      <w:r>
        <w:rPr>
          <w:rFonts w:hint="eastAsia"/>
        </w:rPr>
        <w:t>%。</w:t>
      </w:r>
    </w:p>
    <w:p>
      <w:pPr>
        <w:ind w:firstLine="562"/>
        <w:rPr>
          <w:rFonts w:hAnsi="宋体"/>
          <w:b/>
          <w:bCs/>
          <w:szCs w:val="28"/>
        </w:rPr>
      </w:pPr>
      <w:r>
        <w:rPr>
          <w:rFonts w:hint="eastAsia" w:hAnsi="宋体"/>
          <w:b/>
          <w:bCs/>
          <w:szCs w:val="28"/>
        </w:rPr>
        <w:t>（2）部门效果目标</w:t>
      </w:r>
    </w:p>
    <w:p>
      <w:pPr>
        <w:ind w:firstLine="560"/>
        <w:rPr>
          <w:rFonts w:hAnsi="宋体"/>
          <w:szCs w:val="28"/>
        </w:rPr>
      </w:pPr>
      <w:bookmarkStart w:id="32" w:name="_Toc40046033"/>
      <w:r>
        <w:rPr>
          <w:rFonts w:hint="eastAsia" w:hAnsi="宋体"/>
          <w:szCs w:val="28"/>
        </w:rPr>
        <w:t>根据部门重点工作任务，二级指标部门效果目标下设</w:t>
      </w:r>
      <w:r>
        <w:rPr>
          <w:rFonts w:hAnsi="宋体"/>
          <w:szCs w:val="28"/>
        </w:rPr>
        <w:t>1</w:t>
      </w:r>
      <w:r>
        <w:rPr>
          <w:rFonts w:hint="eastAsia" w:hAnsi="宋体"/>
          <w:szCs w:val="28"/>
        </w:rPr>
        <w:t>个三级指标。指标权重合计</w:t>
      </w:r>
      <w:r>
        <w:rPr>
          <w:rFonts w:hint="eastAsia" w:hAnsi="宋体"/>
          <w:szCs w:val="28"/>
          <w:lang w:val="en-US" w:eastAsia="zh-CN"/>
        </w:rPr>
        <w:t>6</w:t>
      </w:r>
      <w:r>
        <w:rPr>
          <w:rFonts w:hint="eastAsia" w:hAnsi="宋体"/>
          <w:szCs w:val="28"/>
        </w:rPr>
        <w:t>分，自评得分</w:t>
      </w:r>
      <w:r>
        <w:rPr>
          <w:rFonts w:hint="eastAsia" w:hAnsi="宋体"/>
          <w:szCs w:val="28"/>
          <w:lang w:val="en-US" w:eastAsia="zh-CN"/>
        </w:rPr>
        <w:t>5.4</w:t>
      </w:r>
      <w:r>
        <w:rPr>
          <w:rFonts w:hint="eastAsia" w:hAnsi="宋体"/>
          <w:szCs w:val="28"/>
        </w:rPr>
        <w:t>分，得分率为</w:t>
      </w:r>
      <w:r>
        <w:rPr>
          <w:rFonts w:hint="eastAsia" w:hAnsi="宋体"/>
          <w:szCs w:val="28"/>
          <w:lang w:val="en-US" w:eastAsia="zh-CN"/>
        </w:rPr>
        <w:t>90</w:t>
      </w:r>
      <w:r>
        <w:rPr>
          <w:rFonts w:hint="eastAsia" w:hAnsi="宋体"/>
          <w:szCs w:val="28"/>
        </w:rPr>
        <w:t>%。</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559"/>
        <w:gridCol w:w="1560"/>
        <w:gridCol w:w="850"/>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协商谏言水平</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高</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90</w:t>
            </w:r>
            <w:r>
              <w:rPr>
                <w:rFonts w:ascii="仿宋_GB2312" w:hAnsi="宋体" w:eastAsia="仿宋_GB2312" w:cs="宋体"/>
                <w:color w:val="000000"/>
                <w:kern w:val="0"/>
                <w:sz w:val="24"/>
                <w:szCs w:val="24"/>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5.4</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90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24"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b/>
                <w:bCs/>
                <w:color w:val="000000"/>
                <w:kern w:val="0"/>
                <w:sz w:val="24"/>
                <w:szCs w:val="24"/>
                <w:lang w:eastAsia="zh-CN"/>
              </w:rPr>
            </w:pPr>
            <w:r>
              <w:rPr>
                <w:rFonts w:hint="eastAsia" w:ascii="仿宋_GB2312" w:hAnsi="宋体" w:eastAsia="仿宋_GB2312" w:cs="宋体"/>
                <w:b/>
                <w:bCs/>
                <w:color w:val="000000"/>
                <w:kern w:val="0"/>
                <w:sz w:val="24"/>
                <w:szCs w:val="24"/>
                <w:lang w:val="en-US" w:eastAsia="zh-CN"/>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b/>
                <w:bCs/>
                <w:sz w:val="24"/>
                <w:szCs w:val="24"/>
                <w:lang w:val="en-US" w:eastAsia="zh-CN"/>
              </w:rPr>
            </w:pPr>
            <w:r>
              <w:rPr>
                <w:rFonts w:hint="eastAsia" w:ascii="仿宋_GB2312" w:eastAsia="仿宋_GB2312"/>
                <w:b/>
                <w:bCs/>
                <w:sz w:val="24"/>
                <w:szCs w:val="24"/>
                <w:lang w:val="en-US" w:eastAsia="zh-CN"/>
              </w:rPr>
              <w:t>5.4</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lang w:val="en-US" w:eastAsia="zh-CN"/>
              </w:rPr>
              <w:t>90</w:t>
            </w:r>
            <w:r>
              <w:rPr>
                <w:rFonts w:hint="eastAsia" w:ascii="仿宋_GB2312" w:eastAsia="仿宋_GB2312"/>
                <w:b/>
                <w:bCs/>
                <w:sz w:val="24"/>
                <w:szCs w:val="24"/>
              </w:rPr>
              <w:t>%</w:t>
            </w:r>
          </w:p>
        </w:tc>
      </w:tr>
    </w:tbl>
    <w:p>
      <w:pPr>
        <w:numPr>
          <w:ilvl w:val="0"/>
          <w:numId w:val="0"/>
        </w:numPr>
        <w:ind w:firstLine="562" w:firstLineChars="200"/>
        <w:rPr>
          <w:rFonts w:hAnsi="仿宋"/>
          <w:b/>
          <w:bCs/>
          <w:spacing w:val="4"/>
          <w:szCs w:val="28"/>
        </w:rPr>
      </w:pPr>
      <w:r>
        <w:rPr>
          <w:rFonts w:hint="eastAsia" w:hAnsi="宋体"/>
          <w:b/>
          <w:bCs/>
          <w:szCs w:val="28"/>
        </w:rPr>
        <w:t>协商谏言水平：</w:t>
      </w:r>
      <w:r>
        <w:rPr>
          <w:rFonts w:hint="eastAsia"/>
          <w:lang w:val="en-US" w:eastAsia="zh-CN"/>
        </w:rPr>
        <w:t>我单位</w:t>
      </w:r>
      <w:r>
        <w:rPr>
          <w:rFonts w:hint="eastAsia"/>
          <w:lang w:eastAsia="zh-CN"/>
        </w:rPr>
        <w:t>在就</w:t>
      </w:r>
      <w:r>
        <w:rPr>
          <w:rFonts w:hint="eastAsia"/>
          <w:lang w:val="en-US" w:eastAsia="zh-CN"/>
        </w:rPr>
        <w:t>黄河流域生态保护与高质量发展、实现碳达峰碳中和、“十四五”规划实施等主题召开的政党协商会上，提出统筹推进黄河上游生态产业化产业生态化绿色崛起、尽快制定出台我省碳达峰碳中和工作方案、加快构建清洁低碳高效的能源体系建设、完善科技成果转化体制机制建设、甘肃历史文化资源挖掘与开发利用、太阳能光热发电装备产业发展等意见建议，受到省委省政府领导高度重视。</w:t>
      </w:r>
      <w:r>
        <w:rPr>
          <w:rFonts w:hint="eastAsia"/>
        </w:rPr>
        <w:t>开展作为“</w:t>
      </w:r>
      <w:r>
        <w:rPr>
          <w:rFonts w:hint="eastAsia"/>
          <w:lang w:val="en-US" w:eastAsia="zh-CN"/>
        </w:rPr>
        <w:t>黄河</w:t>
      </w:r>
      <w:r>
        <w:rPr>
          <w:rFonts w:hint="eastAsia"/>
        </w:rPr>
        <w:t>之肾”</w:t>
      </w:r>
      <w:r>
        <w:rPr>
          <w:rFonts w:hint="eastAsia"/>
          <w:lang w:val="en-US" w:eastAsia="zh-CN"/>
        </w:rPr>
        <w:t>甘南生态环境保护</w:t>
      </w:r>
      <w:r>
        <w:rPr>
          <w:rFonts w:hint="eastAsia"/>
        </w:rPr>
        <w:t>调研，回顾总结湿地面积锐减</w:t>
      </w:r>
      <w:r>
        <w:rPr>
          <w:rFonts w:hint="eastAsia"/>
          <w:lang w:eastAsia="zh-CN"/>
        </w:rPr>
        <w:t>、</w:t>
      </w:r>
      <w:r>
        <w:rPr>
          <w:rFonts w:hint="eastAsia"/>
        </w:rPr>
        <w:t>水源涵养能力降低</w:t>
      </w:r>
      <w:r>
        <w:rPr>
          <w:rFonts w:hint="eastAsia"/>
          <w:lang w:eastAsia="zh-CN"/>
        </w:rPr>
        <w:t>、</w:t>
      </w:r>
      <w:r>
        <w:rPr>
          <w:rFonts w:hint="eastAsia"/>
        </w:rPr>
        <w:t>天然草原退化</w:t>
      </w:r>
      <w:r>
        <w:rPr>
          <w:rFonts w:hint="eastAsia"/>
          <w:lang w:eastAsia="zh-CN"/>
        </w:rPr>
        <w:t>、</w:t>
      </w:r>
      <w:r>
        <w:rPr>
          <w:rFonts w:hint="eastAsia"/>
        </w:rPr>
        <w:t>土地沙化严重等老大难问题纠而复生的原因，提出</w:t>
      </w:r>
      <w:r>
        <w:rPr>
          <w:rFonts w:hint="eastAsia"/>
          <w:lang w:eastAsia="zh-CN"/>
        </w:rPr>
        <w:t>“</w:t>
      </w:r>
      <w:r>
        <w:rPr>
          <w:rFonts w:hint="eastAsia"/>
          <w:lang w:val="en-US" w:eastAsia="zh-CN"/>
        </w:rPr>
        <w:t>在甘南启动建设青藏高原绿色现代化先行示范区</w:t>
      </w:r>
      <w:r>
        <w:rPr>
          <w:rFonts w:hint="eastAsia"/>
          <w:lang w:eastAsia="zh-CN"/>
        </w:rPr>
        <w:t>”</w:t>
      </w:r>
      <w:r>
        <w:rPr>
          <w:rFonts w:hint="eastAsia"/>
          <w:lang w:val="en-US" w:eastAsia="zh-CN"/>
        </w:rPr>
        <w:t>的</w:t>
      </w:r>
      <w:r>
        <w:rPr>
          <w:rFonts w:hint="eastAsia"/>
        </w:rPr>
        <w:t>标本兼治之策，</w:t>
      </w:r>
      <w:r>
        <w:rPr>
          <w:rFonts w:hint="eastAsia"/>
          <w:lang w:val="en-US" w:eastAsia="zh-CN"/>
        </w:rPr>
        <w:t>得到省委主要领导批示，省改革办召开会议专题研究落实意见。将推动高层次人才队伍建设和加快种业科技创新作为重点课题，组织专家学者深入实地开展调查研究，形成相关报告及建议。后续</w:t>
      </w:r>
      <w:r>
        <w:rPr>
          <w:rFonts w:hint="eastAsia"/>
        </w:rPr>
        <w:t>继续做好与民盟中央联动开展重大调研活动，争取民盟中央支持，推动成果转化；同时，加强与盟内外各级组织、专家学者和相关部门、研究机构的合作，拓展参政议政渠道和资源，提升民盟议政建言的深度和广度。指标权重</w:t>
      </w:r>
      <w:r>
        <w:rPr>
          <w:rFonts w:hint="eastAsia"/>
          <w:lang w:val="en-US" w:eastAsia="zh-CN"/>
        </w:rPr>
        <w:t>6</w:t>
      </w:r>
      <w:r>
        <w:rPr>
          <w:rFonts w:hint="eastAsia"/>
        </w:rPr>
        <w:t>分，得分</w:t>
      </w:r>
      <w:r>
        <w:rPr>
          <w:rFonts w:hint="eastAsia"/>
          <w:lang w:val="en-US" w:eastAsia="zh-CN"/>
        </w:rPr>
        <w:t>5.4</w:t>
      </w:r>
      <w:r>
        <w:rPr>
          <w:rFonts w:hint="eastAsia"/>
        </w:rPr>
        <w:t>分，得分率</w:t>
      </w:r>
      <w:r>
        <w:rPr>
          <w:rFonts w:hint="eastAsia"/>
          <w:lang w:val="en-US" w:eastAsia="zh-CN"/>
        </w:rPr>
        <w:t>90</w:t>
      </w:r>
      <w:r>
        <w:rPr>
          <w:rFonts w:hint="eastAsia"/>
        </w:rPr>
        <w:t>%。</w:t>
      </w:r>
    </w:p>
    <w:p>
      <w:pPr>
        <w:ind w:firstLine="562"/>
        <w:rPr>
          <w:rFonts w:hAnsi="宋体"/>
          <w:b/>
          <w:bCs/>
          <w:szCs w:val="28"/>
        </w:rPr>
      </w:pPr>
      <w:r>
        <w:rPr>
          <w:rFonts w:hint="eastAsia" w:hAnsi="宋体"/>
          <w:b/>
          <w:bCs/>
          <w:szCs w:val="28"/>
        </w:rPr>
        <w:t>（3）社会影响</w:t>
      </w:r>
    </w:p>
    <w:p>
      <w:pPr>
        <w:ind w:firstLine="560"/>
        <w:rPr>
          <w:rFonts w:hAnsi="宋体"/>
          <w:szCs w:val="28"/>
        </w:rPr>
      </w:pPr>
      <w:r>
        <w:rPr>
          <w:rFonts w:hint="eastAsia"/>
        </w:rPr>
        <w:t>社会影响从违法违纪情况方面考虑，</w:t>
      </w:r>
      <w:r>
        <w:rPr>
          <w:rFonts w:hint="eastAsia" w:hAnsi="宋体"/>
          <w:szCs w:val="28"/>
        </w:rPr>
        <w:t>指标权重合计</w:t>
      </w:r>
      <w:r>
        <w:rPr>
          <w:rFonts w:hint="eastAsia" w:hAnsi="宋体"/>
          <w:szCs w:val="28"/>
          <w:lang w:val="en-US" w:eastAsia="zh-CN"/>
        </w:rPr>
        <w:t>6</w:t>
      </w:r>
      <w:r>
        <w:rPr>
          <w:rFonts w:hint="eastAsia" w:hAnsi="宋体"/>
          <w:szCs w:val="28"/>
        </w:rPr>
        <w:t>分，自评得分</w:t>
      </w:r>
      <w:r>
        <w:rPr>
          <w:rFonts w:hint="eastAsia" w:hAnsi="宋体"/>
          <w:szCs w:val="28"/>
          <w:lang w:val="en-US" w:eastAsia="zh-CN"/>
        </w:rPr>
        <w:t>6</w:t>
      </w:r>
      <w:r>
        <w:rPr>
          <w:rFonts w:hint="eastAsia" w:hAnsi="宋体"/>
          <w:szCs w:val="28"/>
        </w:rPr>
        <w:t>分，得分率为</w:t>
      </w:r>
      <w:r>
        <w:rPr>
          <w:rFonts w:hAnsi="宋体"/>
          <w:szCs w:val="28"/>
        </w:rPr>
        <w:t>100</w:t>
      </w:r>
      <w:r>
        <w:rPr>
          <w:rFonts w:hint="eastAsia" w:hAnsi="宋体"/>
          <w:szCs w:val="28"/>
        </w:rPr>
        <w:t>%。</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559"/>
        <w:gridCol w:w="1560"/>
        <w:gridCol w:w="850"/>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违法违纪情况</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无</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24"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b/>
                <w:bCs/>
                <w:color w:val="000000"/>
                <w:kern w:val="0"/>
                <w:sz w:val="24"/>
                <w:szCs w:val="24"/>
                <w:lang w:eastAsia="zh-CN"/>
              </w:rPr>
            </w:pPr>
            <w:r>
              <w:rPr>
                <w:rFonts w:hint="eastAsia" w:ascii="仿宋_GB2312" w:hAnsi="宋体" w:eastAsia="仿宋_GB2312" w:cs="宋体"/>
                <w:b/>
                <w:bCs/>
                <w:color w:val="000000"/>
                <w:kern w:val="0"/>
                <w:sz w:val="24"/>
                <w:szCs w:val="24"/>
                <w:lang w:val="en-US" w:eastAsia="zh-CN"/>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b/>
                <w:bCs/>
                <w:sz w:val="24"/>
                <w:szCs w:val="24"/>
                <w:lang w:eastAsia="zh-CN"/>
              </w:rPr>
            </w:pPr>
            <w:r>
              <w:rPr>
                <w:rFonts w:hint="eastAsia" w:ascii="仿宋_GB2312" w:eastAsia="仿宋_GB2312"/>
                <w:b/>
                <w:bCs/>
                <w:sz w:val="24"/>
                <w:szCs w:val="24"/>
                <w:lang w:val="en-US" w:eastAsia="zh-CN"/>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rPr>
          <w:rFonts w:hAnsi="宋体"/>
          <w:b/>
          <w:bCs/>
          <w:szCs w:val="28"/>
        </w:rPr>
      </w:pPr>
      <w:r>
        <w:rPr>
          <w:rFonts w:hint="eastAsia" w:hAnsi="宋体"/>
          <w:b/>
          <w:bCs/>
          <w:szCs w:val="28"/>
        </w:rPr>
        <w:t>违法违纪情况：</w:t>
      </w:r>
      <w:r>
        <w:rPr>
          <w:rFonts w:hint="eastAsia"/>
        </w:rPr>
        <w:t>我单位未发生违法违纪情况。</w:t>
      </w:r>
      <w:r>
        <w:rPr>
          <w:rFonts w:hint="eastAsia" w:hAnsi="仿宋"/>
          <w:spacing w:val="4"/>
          <w:szCs w:val="28"/>
        </w:rPr>
        <w:t>指</w:t>
      </w:r>
      <w:r>
        <w:rPr>
          <w:rFonts w:hint="eastAsia"/>
        </w:rPr>
        <w:t>标权重</w:t>
      </w:r>
      <w:r>
        <w:rPr>
          <w:rFonts w:hint="eastAsia"/>
          <w:lang w:val="en-US" w:eastAsia="zh-CN"/>
        </w:rPr>
        <w:t>6</w:t>
      </w:r>
      <w:r>
        <w:rPr>
          <w:rFonts w:hint="eastAsia"/>
        </w:rPr>
        <w:t>分，自评得分</w:t>
      </w:r>
      <w:r>
        <w:rPr>
          <w:rFonts w:hint="eastAsia"/>
          <w:lang w:val="en-US" w:eastAsia="zh-CN"/>
        </w:rPr>
        <w:t>6</w:t>
      </w:r>
      <w:r>
        <w:rPr>
          <w:rFonts w:hint="eastAsia"/>
        </w:rPr>
        <w:t>分，得分率为</w:t>
      </w:r>
      <w:r>
        <w:t>100</w:t>
      </w:r>
      <w:r>
        <w:rPr>
          <w:rFonts w:hint="eastAsia"/>
        </w:rPr>
        <w:t>%。</w:t>
      </w:r>
    </w:p>
    <w:p>
      <w:pPr>
        <w:pStyle w:val="4"/>
        <w:ind w:firstLine="562"/>
      </w:pPr>
      <w:r>
        <w:rPr>
          <w:rFonts w:hint="eastAsia"/>
        </w:rPr>
        <w:t>4、能力建设</w:t>
      </w:r>
      <w:bookmarkEnd w:id="32"/>
    </w:p>
    <w:p>
      <w:pPr>
        <w:ind w:firstLine="560"/>
        <w:rPr>
          <w:rFonts w:hAnsi="宋体"/>
          <w:szCs w:val="28"/>
        </w:rPr>
      </w:pPr>
      <w:r>
        <w:rPr>
          <w:rFonts w:hint="eastAsia" w:hAnsi="宋体"/>
          <w:szCs w:val="28"/>
        </w:rPr>
        <w:t>根据《202</w:t>
      </w:r>
      <w:r>
        <w:rPr>
          <w:rFonts w:hint="eastAsia" w:hAnsi="宋体"/>
          <w:szCs w:val="28"/>
          <w:lang w:val="en-US" w:eastAsia="zh-CN"/>
        </w:rPr>
        <w:t>1</w:t>
      </w:r>
      <w:r>
        <w:rPr>
          <w:rFonts w:hint="eastAsia" w:hAnsi="宋体"/>
          <w:szCs w:val="28"/>
        </w:rPr>
        <w:t>年度中国民主同盟甘肃省委员会单位整体支出绩效自评表》，一级指标能力建设下设</w:t>
      </w:r>
      <w:r>
        <w:rPr>
          <w:rFonts w:hAnsi="宋体"/>
          <w:szCs w:val="28"/>
        </w:rPr>
        <w:t>4</w:t>
      </w:r>
      <w:r>
        <w:rPr>
          <w:rFonts w:hint="eastAsia" w:hAnsi="宋体"/>
          <w:szCs w:val="28"/>
        </w:rPr>
        <w:t>个三级指标，指标权重合计</w:t>
      </w:r>
      <w:r>
        <w:rPr>
          <w:rFonts w:hint="eastAsia" w:hAnsi="宋体"/>
          <w:szCs w:val="28"/>
          <w:lang w:val="en-US" w:eastAsia="zh-CN"/>
        </w:rPr>
        <w:t>24</w:t>
      </w:r>
      <w:r>
        <w:rPr>
          <w:rFonts w:hint="eastAsia" w:hAnsi="宋体"/>
          <w:szCs w:val="28"/>
        </w:rPr>
        <w:t>分，自评得分</w:t>
      </w:r>
      <w:r>
        <w:rPr>
          <w:rFonts w:hint="eastAsia" w:hAnsi="宋体"/>
          <w:szCs w:val="28"/>
          <w:lang w:val="en-US" w:eastAsia="zh-CN"/>
        </w:rPr>
        <w:t>23.4</w:t>
      </w:r>
      <w:r>
        <w:rPr>
          <w:rFonts w:hint="eastAsia" w:hAnsi="宋体"/>
          <w:szCs w:val="28"/>
        </w:rPr>
        <w:t>分，得分率为</w:t>
      </w:r>
      <w:r>
        <w:rPr>
          <w:rFonts w:hint="eastAsia" w:hAnsi="宋体"/>
          <w:szCs w:val="28"/>
          <w:lang w:val="en-US" w:eastAsia="zh-CN"/>
        </w:rPr>
        <w:t>97.5</w:t>
      </w:r>
      <w:r>
        <w:rPr>
          <w:rFonts w:hint="eastAsia" w:hAnsi="宋体"/>
          <w:szCs w:val="28"/>
        </w:rPr>
        <w:t>%。</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559"/>
        <w:gridCol w:w="1559"/>
        <w:gridCol w:w="851"/>
        <w:gridCol w:w="708"/>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68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708"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中期规划建设完备程度</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完备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708"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5.4</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90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参政履职机制</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完善</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708"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6</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人员培训机制完备性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完备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708"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6</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档案管理完备性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完备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708"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6</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07"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b/>
                <w:bCs/>
                <w:color w:val="000000"/>
                <w:kern w:val="0"/>
                <w:sz w:val="24"/>
                <w:szCs w:val="24"/>
                <w:lang w:val="en-US" w:eastAsia="zh-CN"/>
              </w:rPr>
            </w:pPr>
            <w:r>
              <w:rPr>
                <w:rFonts w:hint="eastAsia" w:ascii="仿宋_GB2312" w:hAnsi="宋体" w:eastAsia="仿宋_GB2312" w:cs="宋体"/>
                <w:b/>
                <w:bCs/>
                <w:color w:val="000000"/>
                <w:kern w:val="0"/>
                <w:sz w:val="24"/>
                <w:szCs w:val="24"/>
                <w:lang w:val="en-US" w:eastAsia="zh-CN"/>
              </w:rPr>
              <w:t>24</w:t>
            </w:r>
          </w:p>
        </w:tc>
        <w:tc>
          <w:tcPr>
            <w:tcW w:w="708"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b/>
                <w:bCs/>
                <w:sz w:val="24"/>
                <w:szCs w:val="24"/>
                <w:lang w:val="en-US" w:eastAsia="zh-CN"/>
              </w:rPr>
            </w:pPr>
            <w:r>
              <w:rPr>
                <w:rFonts w:hint="eastAsia" w:ascii="仿宋_GB2312" w:eastAsia="仿宋_GB2312"/>
                <w:b/>
                <w:bCs/>
                <w:sz w:val="24"/>
                <w:szCs w:val="24"/>
                <w:lang w:val="en-US" w:eastAsia="zh-CN"/>
              </w:rPr>
              <w:t>23.4</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ascii="仿宋_GB2312" w:eastAsia="仿宋_GB2312"/>
                <w:b/>
                <w:bCs/>
                <w:sz w:val="24"/>
                <w:szCs w:val="24"/>
              </w:rPr>
              <w:t>9</w:t>
            </w:r>
            <w:r>
              <w:rPr>
                <w:rFonts w:hint="eastAsia" w:ascii="仿宋_GB2312" w:eastAsia="仿宋_GB2312"/>
                <w:b/>
                <w:bCs/>
                <w:sz w:val="24"/>
                <w:szCs w:val="24"/>
                <w:lang w:val="en-US" w:eastAsia="zh-CN"/>
              </w:rPr>
              <w:t>7.5</w:t>
            </w:r>
            <w:r>
              <w:rPr>
                <w:rFonts w:hint="eastAsia" w:ascii="仿宋_GB2312" w:eastAsia="仿宋_GB2312"/>
                <w:b/>
                <w:bCs/>
                <w:sz w:val="24"/>
                <w:szCs w:val="24"/>
              </w:rPr>
              <w:t>%</w:t>
            </w:r>
          </w:p>
        </w:tc>
      </w:tr>
    </w:tbl>
    <w:p>
      <w:pPr>
        <w:ind w:firstLine="562"/>
        <w:rPr>
          <w:rFonts w:hAnsi="宋体"/>
          <w:szCs w:val="28"/>
        </w:rPr>
      </w:pPr>
      <w:r>
        <w:rPr>
          <w:rFonts w:hint="eastAsia" w:hAnsi="宋体"/>
          <w:b/>
          <w:bCs/>
          <w:szCs w:val="28"/>
        </w:rPr>
        <w:t>中期规划建设完备程度：</w:t>
      </w:r>
      <w:r>
        <w:rPr>
          <w:rFonts w:hint="eastAsia" w:hAnsi="宋体"/>
          <w:szCs w:val="28"/>
        </w:rPr>
        <w:t>我</w:t>
      </w:r>
      <w:r>
        <w:rPr>
          <w:rFonts w:hint="eastAsia" w:hAnsi="宋体"/>
          <w:szCs w:val="28"/>
          <w:lang w:eastAsia="zh-CN"/>
        </w:rPr>
        <w:t>单位</w:t>
      </w:r>
      <w:r>
        <w:rPr>
          <w:rFonts w:hint="eastAsia" w:hAnsi="宋体"/>
          <w:szCs w:val="28"/>
        </w:rPr>
        <w:t>中期规划明确完整、内容全面可行，能够为未来的工作明确目标、方向和内容。但从单位长期发展的角度来看，我单位参政议政人才短缺严重，且盟员以科教文卫界的居多，懂经济、懂法律、懂管理的少，缺乏全面系统地看问题的能力，参政议政工作面临着前所未有的压力。指标权重</w:t>
      </w:r>
      <w:r>
        <w:rPr>
          <w:rFonts w:hint="eastAsia" w:hAnsi="宋体"/>
          <w:szCs w:val="28"/>
          <w:lang w:val="en-US" w:eastAsia="zh-CN"/>
        </w:rPr>
        <w:t>6</w:t>
      </w:r>
      <w:r>
        <w:rPr>
          <w:rFonts w:hint="eastAsia" w:hAnsi="宋体"/>
          <w:szCs w:val="28"/>
        </w:rPr>
        <w:t>分，自评得分</w:t>
      </w:r>
      <w:r>
        <w:rPr>
          <w:rFonts w:hint="eastAsia" w:hAnsi="宋体"/>
          <w:szCs w:val="28"/>
          <w:lang w:val="en-US" w:eastAsia="zh-CN"/>
        </w:rPr>
        <w:t>5.4</w:t>
      </w:r>
      <w:r>
        <w:rPr>
          <w:rFonts w:hint="eastAsia" w:hAnsi="宋体"/>
          <w:szCs w:val="28"/>
        </w:rPr>
        <w:t>分，得分率为</w:t>
      </w:r>
      <w:r>
        <w:rPr>
          <w:rFonts w:hAnsi="宋体"/>
          <w:szCs w:val="28"/>
        </w:rPr>
        <w:t>9</w:t>
      </w:r>
      <w:r>
        <w:rPr>
          <w:rFonts w:hint="eastAsia" w:hAnsi="宋体"/>
          <w:szCs w:val="28"/>
          <w:lang w:val="en-US" w:eastAsia="zh-CN"/>
        </w:rPr>
        <w:t>0</w:t>
      </w:r>
      <w:r>
        <w:rPr>
          <w:rFonts w:hint="eastAsia" w:hAnsi="宋体"/>
          <w:szCs w:val="28"/>
        </w:rPr>
        <w:t>%。</w:t>
      </w:r>
    </w:p>
    <w:p>
      <w:pPr>
        <w:ind w:firstLine="562"/>
      </w:pPr>
      <w:r>
        <w:rPr>
          <w:rFonts w:hint="eastAsia" w:hAnsi="宋体"/>
          <w:b/>
          <w:bCs/>
          <w:szCs w:val="28"/>
        </w:rPr>
        <w:t>参政履职机制：</w:t>
      </w:r>
      <w:r>
        <w:rPr>
          <w:rFonts w:hint="eastAsia"/>
        </w:rPr>
        <w:t>我单位进一步畅通参政议政素材征集渠道，一方面对确定的重点调研课题，实施“上下联动、左右互动”调研机制，由各基层组织、专委会联动开展重点调研工作，另一方面，加强专委会专家智库作用发挥，督促和组织各专委会通过形式多样的活动，在提升委员参政议政工作的积极性的同时也提高了调研的科学性。指标权重</w:t>
      </w:r>
      <w:r>
        <w:rPr>
          <w:rFonts w:hint="eastAsia"/>
          <w:lang w:val="en-US" w:eastAsia="zh-CN"/>
        </w:rPr>
        <w:t>6</w:t>
      </w:r>
      <w:r>
        <w:rPr>
          <w:rFonts w:hint="eastAsia"/>
        </w:rPr>
        <w:t>分，自评得分</w:t>
      </w:r>
      <w:r>
        <w:rPr>
          <w:rFonts w:hint="eastAsia"/>
          <w:lang w:val="en-US" w:eastAsia="zh-CN"/>
        </w:rPr>
        <w:t>6</w:t>
      </w:r>
      <w:r>
        <w:rPr>
          <w:rFonts w:hint="eastAsia"/>
        </w:rPr>
        <w:t>分，得分率1</w:t>
      </w:r>
      <w:r>
        <w:t>00</w:t>
      </w:r>
      <w:r>
        <w:rPr>
          <w:rFonts w:hint="eastAsia"/>
        </w:rPr>
        <w:t>%。</w:t>
      </w:r>
    </w:p>
    <w:p>
      <w:pPr>
        <w:ind w:firstLine="562"/>
        <w:rPr>
          <w:rFonts w:hAnsi="宋体"/>
          <w:szCs w:val="28"/>
        </w:rPr>
      </w:pPr>
      <w:r>
        <w:rPr>
          <w:rFonts w:hint="eastAsia" w:hAnsi="宋体"/>
          <w:b/>
          <w:bCs/>
          <w:szCs w:val="28"/>
        </w:rPr>
        <w:t>人员培训机制完备性：</w:t>
      </w:r>
      <w:r>
        <w:rPr>
          <w:rFonts w:hint="eastAsia" w:hAnsi="宋体"/>
          <w:szCs w:val="28"/>
        </w:rPr>
        <w:t>我单位定期组织开展内部学习与培训，同时根据业务开展需要，派出相关业务人员，外出参与外部学习与培训，部门工作人员的业务能力与业务素质不断得到提升。指标权重</w:t>
      </w:r>
      <w:r>
        <w:rPr>
          <w:rFonts w:hint="eastAsia" w:hAnsi="宋体"/>
          <w:szCs w:val="28"/>
          <w:lang w:val="en-US" w:eastAsia="zh-CN"/>
        </w:rPr>
        <w:t>6</w:t>
      </w:r>
      <w:r>
        <w:rPr>
          <w:rFonts w:hint="eastAsia" w:hAnsi="宋体"/>
          <w:szCs w:val="28"/>
        </w:rPr>
        <w:t>分，自评得分</w:t>
      </w:r>
      <w:r>
        <w:rPr>
          <w:rFonts w:hint="eastAsia" w:hAnsi="宋体"/>
          <w:szCs w:val="28"/>
          <w:lang w:val="en-US" w:eastAsia="zh-CN"/>
        </w:rPr>
        <w:t>6</w:t>
      </w:r>
      <w:r>
        <w:rPr>
          <w:rFonts w:hint="eastAsia" w:hAnsi="宋体"/>
          <w:szCs w:val="28"/>
        </w:rPr>
        <w:t>分，得分率为100%。</w:t>
      </w:r>
    </w:p>
    <w:p>
      <w:pPr>
        <w:ind w:firstLine="562"/>
        <w:rPr>
          <w:rFonts w:hAnsi="宋体"/>
          <w:szCs w:val="28"/>
        </w:rPr>
      </w:pPr>
      <w:r>
        <w:rPr>
          <w:rFonts w:hint="eastAsia" w:hAnsi="宋体"/>
          <w:b/>
          <w:bCs/>
          <w:szCs w:val="28"/>
        </w:rPr>
        <w:t>档案管理完备性：</w:t>
      </w:r>
      <w:r>
        <w:rPr>
          <w:rFonts w:hint="eastAsia" w:hAnsi="宋体"/>
          <w:szCs w:val="28"/>
        </w:rPr>
        <w:t>我单位档案管理工作完成较好，档案收集、档案保管方面管理到位，有效执行，并设有档案管理的专职人员。指标权重</w:t>
      </w:r>
      <w:r>
        <w:rPr>
          <w:rFonts w:hint="eastAsia" w:hAnsi="宋体"/>
          <w:szCs w:val="28"/>
          <w:lang w:val="en-US" w:eastAsia="zh-CN"/>
        </w:rPr>
        <w:t>6</w:t>
      </w:r>
      <w:r>
        <w:rPr>
          <w:rFonts w:hint="eastAsia" w:hAnsi="宋体"/>
          <w:szCs w:val="28"/>
        </w:rPr>
        <w:t>分，自评得分</w:t>
      </w:r>
      <w:r>
        <w:rPr>
          <w:rFonts w:hint="eastAsia" w:hAnsi="宋体"/>
          <w:szCs w:val="28"/>
          <w:lang w:val="en-US" w:eastAsia="zh-CN"/>
        </w:rPr>
        <w:t>6</w:t>
      </w:r>
      <w:r>
        <w:rPr>
          <w:rFonts w:hint="eastAsia" w:hAnsi="宋体"/>
          <w:szCs w:val="28"/>
        </w:rPr>
        <w:t>分，得分率为100%。</w:t>
      </w:r>
    </w:p>
    <w:p>
      <w:pPr>
        <w:pStyle w:val="4"/>
        <w:ind w:firstLine="562"/>
      </w:pPr>
      <w:bookmarkStart w:id="33" w:name="_Toc40046034"/>
      <w:r>
        <w:rPr>
          <w:rFonts w:hint="eastAsia"/>
        </w:rPr>
        <w:t>5、服务对象满意度</w:t>
      </w:r>
      <w:bookmarkEnd w:id="33"/>
    </w:p>
    <w:p>
      <w:pPr>
        <w:ind w:firstLine="560"/>
        <w:rPr>
          <w:rFonts w:hAnsi="宋体"/>
          <w:szCs w:val="28"/>
        </w:rPr>
      </w:pPr>
      <w:r>
        <w:rPr>
          <w:rFonts w:hint="eastAsia" w:hAnsi="宋体"/>
          <w:szCs w:val="28"/>
        </w:rPr>
        <w:t>根据我单位向社会提供公共产品和服务的主要对象，服务对象满意度主要考察帮扶对象满意度，指标权重合计10分，自评得分10分，得分率为100%。</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559"/>
        <w:gridCol w:w="1559"/>
        <w:gridCol w:w="851"/>
        <w:gridCol w:w="708"/>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68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708"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eastAsia="zh-CN"/>
              </w:rPr>
              <w:t>大众</w:t>
            </w:r>
            <w:r>
              <w:rPr>
                <w:rFonts w:hint="eastAsia" w:ascii="仿宋_GB2312" w:hAnsi="宋体" w:eastAsia="仿宋_GB2312" w:cs="宋体"/>
                <w:color w:val="000000"/>
                <w:kern w:val="0"/>
                <w:sz w:val="24"/>
                <w:szCs w:val="24"/>
              </w:rPr>
              <w:t>满意度</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高</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95%</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708"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6</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07"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b/>
                <w:bCs/>
                <w:color w:val="000000"/>
                <w:kern w:val="0"/>
                <w:sz w:val="24"/>
                <w:szCs w:val="24"/>
                <w:lang w:eastAsia="zh-CN"/>
              </w:rPr>
            </w:pPr>
            <w:r>
              <w:rPr>
                <w:rFonts w:hint="eastAsia" w:ascii="仿宋_GB2312" w:hAnsi="宋体" w:eastAsia="仿宋_GB2312" w:cs="宋体"/>
                <w:b/>
                <w:bCs/>
                <w:color w:val="000000"/>
                <w:kern w:val="0"/>
                <w:sz w:val="24"/>
                <w:szCs w:val="24"/>
                <w:lang w:val="en-US" w:eastAsia="zh-CN"/>
              </w:rPr>
              <w:t>6</w:t>
            </w:r>
          </w:p>
        </w:tc>
        <w:tc>
          <w:tcPr>
            <w:tcW w:w="708"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b/>
                <w:bCs/>
                <w:sz w:val="24"/>
                <w:szCs w:val="24"/>
                <w:lang w:eastAsia="zh-CN"/>
              </w:rPr>
            </w:pPr>
            <w:r>
              <w:rPr>
                <w:rFonts w:hint="eastAsia" w:ascii="仿宋_GB2312" w:eastAsia="仿宋_GB2312"/>
                <w:b/>
                <w:bCs/>
                <w:sz w:val="24"/>
                <w:szCs w:val="24"/>
                <w:lang w:val="en-US" w:eastAsia="zh-CN"/>
              </w:rPr>
              <w:t>6</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rPr>
          <w:rFonts w:hAnsi="宋体"/>
          <w:szCs w:val="28"/>
        </w:rPr>
      </w:pPr>
      <w:r>
        <w:rPr>
          <w:rFonts w:hint="eastAsia" w:hAnsi="宋体"/>
          <w:b/>
          <w:bCs/>
          <w:szCs w:val="28"/>
        </w:rPr>
        <w:t>帮扶对象满意度：</w:t>
      </w:r>
      <w:r>
        <w:rPr>
          <w:rFonts w:hint="eastAsia"/>
        </w:rPr>
        <w:t>我单位不断深化教育帮扶，逐步将教育帮扶发展成为定点化、全方位的合作活动，并持续开展医疗帮扶，开展“送医送药”等活动，得到当地医卫部门以及群众的一致好评，帮扶对象满意度达到9</w:t>
      </w:r>
      <w:r>
        <w:t>5</w:t>
      </w:r>
      <w:r>
        <w:rPr>
          <w:rFonts w:hint="eastAsia"/>
        </w:rPr>
        <w:t>%。指标权重</w:t>
      </w:r>
      <w:r>
        <w:rPr>
          <w:rFonts w:hint="eastAsia"/>
          <w:lang w:val="en-US" w:eastAsia="zh-CN"/>
        </w:rPr>
        <w:t>6</w:t>
      </w:r>
      <w:r>
        <w:rPr>
          <w:rFonts w:hint="eastAsia"/>
        </w:rPr>
        <w:t>分，自评得分</w:t>
      </w:r>
      <w:r>
        <w:rPr>
          <w:rFonts w:hint="eastAsia"/>
          <w:lang w:val="en-US" w:eastAsia="zh-CN"/>
        </w:rPr>
        <w:t>6</w:t>
      </w:r>
      <w:r>
        <w:rPr>
          <w:rFonts w:hint="eastAsia"/>
        </w:rPr>
        <w:t>分，得分率1</w:t>
      </w:r>
      <w:r>
        <w:t>00</w:t>
      </w:r>
      <w:r>
        <w:rPr>
          <w:rFonts w:hint="eastAsia"/>
        </w:rPr>
        <w:t>%。</w:t>
      </w:r>
    </w:p>
    <w:p>
      <w:pPr>
        <w:pStyle w:val="3"/>
        <w:ind w:firstLine="643"/>
      </w:pPr>
      <w:bookmarkStart w:id="34" w:name="_Toc40046035"/>
      <w:bookmarkStart w:id="35" w:name="_Toc65597714"/>
      <w:bookmarkStart w:id="36" w:name="_Toc64058492"/>
      <w:r>
        <w:rPr>
          <w:rFonts w:hint="eastAsia"/>
        </w:rPr>
        <w:t>（四）偏离绩效目标的原因及下一步改进措施</w:t>
      </w:r>
      <w:bookmarkEnd w:id="34"/>
      <w:bookmarkEnd w:id="35"/>
      <w:bookmarkEnd w:id="36"/>
    </w:p>
    <w:p>
      <w:pPr>
        <w:pStyle w:val="4"/>
        <w:ind w:firstLine="562"/>
      </w:pPr>
      <w:r>
        <w:rPr>
          <w:rFonts w:hint="eastAsia"/>
          <w:lang w:val="en-US" w:eastAsia="zh-CN"/>
        </w:rPr>
        <w:t>1</w:t>
      </w:r>
      <w:r>
        <w:rPr>
          <w:rFonts w:hint="eastAsia"/>
        </w:rPr>
        <w:t>、调查研究质量</w:t>
      </w:r>
    </w:p>
    <w:p>
      <w:pPr>
        <w:ind w:firstLine="560"/>
      </w:pPr>
      <w:r>
        <w:rPr>
          <w:rFonts w:hint="eastAsia"/>
          <w:lang w:eastAsia="zh-CN"/>
        </w:rPr>
        <w:t>我单位</w:t>
      </w:r>
      <w:r>
        <w:rPr>
          <w:rFonts w:hint="eastAsia"/>
        </w:rPr>
        <w:t>进一步组织各基层组织上下联动调研工作。继续实施各基层组织上下联动、横向互动调研，坚持以质量为先的要求，认真制定调研计划，扎实开展调研，探索创新参政议政调研工作机制，为政府相关工作提供切实可行的意见建议。</w:t>
      </w:r>
    </w:p>
    <w:p>
      <w:pPr>
        <w:pStyle w:val="4"/>
        <w:ind w:firstLine="562"/>
      </w:pPr>
      <w:r>
        <w:t>3</w:t>
      </w:r>
      <w:r>
        <w:rPr>
          <w:rFonts w:hint="eastAsia"/>
        </w:rPr>
        <w:t>、协商谏言水平</w:t>
      </w:r>
    </w:p>
    <w:p>
      <w:pPr>
        <w:ind w:firstLine="560"/>
      </w:pPr>
      <w:r>
        <w:rPr>
          <w:rFonts w:hint="eastAsia"/>
          <w:lang w:eastAsia="zh-CN"/>
        </w:rPr>
        <w:t>我单位</w:t>
      </w:r>
      <w:r>
        <w:rPr>
          <w:rFonts w:hint="eastAsia"/>
        </w:rPr>
        <w:t>继续做好与民盟中央联动开展重大调研活动，争取民盟中央支持，推动成果转化；同时，加强与盟内外各级组织、专家学者和相关部门、研究机构的合作，拓展参政议政渠道和资源，提升民盟议政建言的深度和广度。</w:t>
      </w:r>
    </w:p>
    <w:p>
      <w:pPr>
        <w:pStyle w:val="4"/>
        <w:ind w:firstLine="562"/>
      </w:pPr>
      <w:r>
        <w:t>4</w:t>
      </w:r>
      <w:r>
        <w:rPr>
          <w:rFonts w:hint="eastAsia"/>
        </w:rPr>
        <w:t>、中期规划建设完备程度</w:t>
      </w:r>
    </w:p>
    <w:p>
      <w:pPr>
        <w:ind w:firstLine="560"/>
        <w:rPr>
          <w:rFonts w:hint="eastAsia"/>
          <w:lang w:eastAsia="zh-CN"/>
        </w:rPr>
      </w:pPr>
      <w:bookmarkStart w:id="37" w:name="_Toc64058493"/>
      <w:bookmarkStart w:id="38" w:name="_Toc65597715"/>
      <w:r>
        <w:rPr>
          <w:rFonts w:hint="eastAsia"/>
          <w:lang w:eastAsia="zh-CN"/>
        </w:rPr>
        <w:t>我单位继续发挥专委会智库作用，通过参政议政多种平台和渠道，发现人才、培养人才、选拔人才，把更多有政治责任心和较强参政议政能力的人士纳进参政议政智库，确保参政议政工作的高质量和可持续性。</w:t>
      </w:r>
      <w:bookmarkEnd w:id="37"/>
      <w:bookmarkEnd w:id="38"/>
    </w:p>
    <w:p>
      <w:pPr>
        <w:pStyle w:val="2"/>
      </w:pPr>
      <w:r>
        <w:rPr>
          <w:rFonts w:hint="eastAsia"/>
        </w:rPr>
        <w:t>四、部门预算项目支出绩效自评情况分析</w:t>
      </w:r>
    </w:p>
    <w:p>
      <w:pPr>
        <w:ind w:firstLine="560"/>
      </w:pPr>
      <w:r>
        <w:rPr>
          <w:rFonts w:hint="eastAsia"/>
        </w:rPr>
        <w:t>202</w:t>
      </w:r>
      <w:r>
        <w:rPr>
          <w:rFonts w:hint="eastAsia"/>
          <w:lang w:val="en-US" w:eastAsia="zh-CN"/>
        </w:rPr>
        <w:t>1</w:t>
      </w:r>
      <w:r>
        <w:rPr>
          <w:rFonts w:hint="eastAsia"/>
        </w:rPr>
        <w:t>年，我单位预算支出项目为主委特别费、培训费、调研费、业务费</w:t>
      </w:r>
      <w:r>
        <w:t>1</w:t>
      </w:r>
      <w:r>
        <w:rPr>
          <w:rFonts w:hint="eastAsia"/>
        </w:rPr>
        <w:t>个。通过自评，该项目结果为“优”。项目自评情况分析如下：</w:t>
      </w:r>
    </w:p>
    <w:p>
      <w:pPr>
        <w:pStyle w:val="3"/>
        <w:ind w:firstLine="643"/>
      </w:pPr>
      <w:bookmarkStart w:id="39" w:name="_Toc40046039"/>
      <w:bookmarkStart w:id="40" w:name="_Toc64058494"/>
      <w:bookmarkStart w:id="41" w:name="_Toc65597716"/>
      <w:r>
        <w:rPr>
          <w:rFonts w:hint="eastAsia"/>
        </w:rPr>
        <w:t>（一）项目-</w:t>
      </w:r>
      <w:bookmarkEnd w:id="39"/>
      <w:r>
        <w:rPr>
          <w:rFonts w:hint="eastAsia"/>
        </w:rPr>
        <w:t>主委特别费、培训费、调研费、业务费</w:t>
      </w:r>
      <w:bookmarkEnd w:id="40"/>
      <w:bookmarkEnd w:id="41"/>
    </w:p>
    <w:p>
      <w:pPr>
        <w:pStyle w:val="4"/>
        <w:ind w:firstLine="562"/>
        <w:rPr>
          <w:szCs w:val="28"/>
        </w:rPr>
      </w:pPr>
      <w:bookmarkStart w:id="42" w:name="_Toc40046040"/>
      <w:r>
        <w:rPr>
          <w:rFonts w:hint="eastAsia"/>
          <w:szCs w:val="28"/>
        </w:rPr>
        <w:t>1</w:t>
      </w:r>
      <w:r>
        <w:rPr>
          <w:rFonts w:hint="eastAsia" w:hAnsi="宋体"/>
          <w:szCs w:val="28"/>
        </w:rPr>
        <w:t>、</w:t>
      </w:r>
      <w:r>
        <w:rPr>
          <w:rFonts w:hint="eastAsia"/>
          <w:szCs w:val="28"/>
        </w:rPr>
        <w:t>项目支出预算执行情况</w:t>
      </w:r>
      <w:bookmarkEnd w:id="42"/>
    </w:p>
    <w:p>
      <w:pPr>
        <w:ind w:firstLine="560"/>
        <w:rPr>
          <w:szCs w:val="28"/>
          <w:highlight w:val="yellow"/>
        </w:rPr>
      </w:pPr>
      <w:r>
        <w:rPr>
          <w:rFonts w:hint="eastAsia"/>
          <w:szCs w:val="28"/>
        </w:rPr>
        <w:t>主委特别费、培训费、调研费、业务费（部门本级）项目年初预算数</w:t>
      </w:r>
      <w:r>
        <w:rPr>
          <w:rFonts w:hint="eastAsia"/>
          <w:szCs w:val="28"/>
          <w:lang w:val="en-US" w:eastAsia="zh-CN"/>
        </w:rPr>
        <w:t>90</w:t>
      </w:r>
      <w:r>
        <w:rPr>
          <w:rFonts w:hint="eastAsia"/>
          <w:szCs w:val="28"/>
        </w:rPr>
        <w:t>万元，全年预算数</w:t>
      </w:r>
      <w:r>
        <w:rPr>
          <w:rFonts w:hint="eastAsia"/>
          <w:lang w:val="en-US" w:eastAsia="zh-CN"/>
        </w:rPr>
        <w:t>90</w:t>
      </w:r>
      <w:r>
        <w:rPr>
          <w:rFonts w:hint="eastAsia"/>
          <w:szCs w:val="28"/>
        </w:rPr>
        <w:t>万元，全年执行数</w:t>
      </w:r>
      <w:r>
        <w:rPr>
          <w:rFonts w:hint="eastAsia"/>
          <w:lang w:val="en-US" w:eastAsia="zh-CN"/>
        </w:rPr>
        <w:t>89.47</w:t>
      </w:r>
      <w:r>
        <w:rPr>
          <w:rFonts w:hint="eastAsia"/>
          <w:szCs w:val="28"/>
        </w:rPr>
        <w:t>万元，预算执行率</w:t>
      </w:r>
      <w:r>
        <w:rPr>
          <w:rFonts w:hint="eastAsia"/>
          <w:lang w:val="en-US" w:eastAsia="zh-CN"/>
        </w:rPr>
        <w:t>99.41</w:t>
      </w:r>
      <w:r>
        <w:rPr>
          <w:rFonts w:hint="eastAsia"/>
          <w:szCs w:val="28"/>
        </w:rPr>
        <w:t>%，满分10分，得分</w:t>
      </w:r>
      <w:r>
        <w:rPr>
          <w:rFonts w:hint="eastAsia"/>
          <w:szCs w:val="28"/>
          <w:lang w:val="en-US" w:eastAsia="zh-CN"/>
        </w:rPr>
        <w:t>9.94</w:t>
      </w:r>
      <w:r>
        <w:rPr>
          <w:rFonts w:hint="eastAsia"/>
          <w:szCs w:val="28"/>
        </w:rPr>
        <w:t>分。</w:t>
      </w:r>
    </w:p>
    <w:p>
      <w:pPr>
        <w:pStyle w:val="4"/>
        <w:ind w:firstLine="562"/>
        <w:rPr>
          <w:szCs w:val="28"/>
        </w:rPr>
      </w:pPr>
      <w:bookmarkStart w:id="43" w:name="_Toc40046041"/>
      <w:r>
        <w:rPr>
          <w:rFonts w:hint="eastAsia"/>
          <w:szCs w:val="28"/>
        </w:rPr>
        <w:t>2</w:t>
      </w:r>
      <w:r>
        <w:rPr>
          <w:rFonts w:hint="eastAsia" w:hAnsi="宋体"/>
          <w:szCs w:val="28"/>
        </w:rPr>
        <w:t>、</w:t>
      </w:r>
      <w:r>
        <w:rPr>
          <w:rFonts w:hint="eastAsia"/>
          <w:szCs w:val="28"/>
        </w:rPr>
        <w:t>总体绩效目标完成情况分析</w:t>
      </w:r>
      <w:bookmarkEnd w:id="43"/>
    </w:p>
    <w:p>
      <w:pPr>
        <w:ind w:firstLine="560"/>
        <w:rPr>
          <w:szCs w:val="28"/>
        </w:rPr>
      </w:pPr>
      <w:r>
        <w:rPr>
          <w:rFonts w:hint="eastAsia"/>
          <w:szCs w:val="28"/>
        </w:rPr>
        <w:t>主委特别费、培训费、调研费、业务费项目自评价得分</w:t>
      </w:r>
      <w:r>
        <w:rPr>
          <w:szCs w:val="28"/>
        </w:rPr>
        <w:t>9</w:t>
      </w:r>
      <w:r>
        <w:rPr>
          <w:rFonts w:hint="eastAsia"/>
          <w:szCs w:val="28"/>
          <w:lang w:val="en-US" w:eastAsia="zh-CN"/>
        </w:rPr>
        <w:t>7.29</w:t>
      </w:r>
      <w:r>
        <w:rPr>
          <w:rFonts w:hint="eastAsia"/>
          <w:szCs w:val="28"/>
        </w:rPr>
        <w:t>分，自评结果为“优”。</w:t>
      </w:r>
    </w:p>
    <w:p>
      <w:pPr>
        <w:ind w:firstLine="560"/>
        <w:rPr>
          <w:rFonts w:hint="eastAsia"/>
          <w:szCs w:val="28"/>
        </w:rPr>
      </w:pPr>
      <w:r>
        <w:rPr>
          <w:rFonts w:hint="eastAsia"/>
          <w:szCs w:val="28"/>
        </w:rPr>
        <w:t>总体绩效目标完成情况：</w:t>
      </w:r>
    </w:p>
    <w:p>
      <w:pPr>
        <w:pStyle w:val="4"/>
        <w:ind w:firstLine="562"/>
        <w:rPr>
          <w:rFonts w:hint="eastAsia" w:ascii="仿宋_GB2312" w:hAnsi="宋体" w:eastAsia="仿宋_GB2312" w:cstheme="minorBidi"/>
          <w:b w:val="0"/>
          <w:bCs w:val="0"/>
          <w:kern w:val="2"/>
          <w:sz w:val="28"/>
          <w:szCs w:val="28"/>
          <w:lang w:val="en-US" w:eastAsia="zh-CN" w:bidi="ar-SA"/>
        </w:rPr>
      </w:pPr>
      <w:bookmarkStart w:id="44" w:name="_Toc40046042"/>
      <w:r>
        <w:rPr>
          <w:rFonts w:hint="eastAsia" w:ascii="仿宋_GB2312" w:hAnsi="宋体" w:eastAsia="仿宋_GB2312" w:cstheme="minorBidi"/>
          <w:b w:val="0"/>
          <w:bCs w:val="0"/>
          <w:kern w:val="2"/>
          <w:sz w:val="28"/>
          <w:szCs w:val="28"/>
          <w:lang w:val="en-US" w:eastAsia="zh-CN" w:bidi="ar-SA"/>
        </w:rPr>
        <w:t>2021年组织培训2次，参加培训人数170人以上，召开会议次数5次以上，参加会议人员300人以上，组织调研次数8次以上，参与调研人数50人以上，参与帮扶工作人数20人以上，印刷材料份数6000份以上，维护网站平台2个，培训考核合格率大于95%，会议成果应用率大于90%，组织调研有效率大于95%，脱贫帮扶有效率大于95%，材料印刷合格率大于98%，网络平台稳定率大于95%。</w:t>
      </w:r>
    </w:p>
    <w:p>
      <w:pPr>
        <w:pStyle w:val="4"/>
        <w:ind w:firstLine="562"/>
        <w:rPr>
          <w:szCs w:val="28"/>
        </w:rPr>
      </w:pPr>
      <w:r>
        <w:rPr>
          <w:rFonts w:hint="eastAsia"/>
          <w:szCs w:val="28"/>
        </w:rPr>
        <w:t>3</w:t>
      </w:r>
      <w:r>
        <w:rPr>
          <w:rFonts w:hint="eastAsia" w:hAnsi="宋体"/>
          <w:szCs w:val="28"/>
        </w:rPr>
        <w:t>、</w:t>
      </w:r>
      <w:r>
        <w:rPr>
          <w:rFonts w:hint="eastAsia"/>
          <w:szCs w:val="28"/>
        </w:rPr>
        <w:t>各项指标完成情况分析</w:t>
      </w:r>
      <w:bookmarkEnd w:id="44"/>
    </w:p>
    <w:p>
      <w:pPr>
        <w:ind w:firstLine="560"/>
        <w:rPr>
          <w:szCs w:val="28"/>
        </w:rPr>
      </w:pPr>
      <w:r>
        <w:rPr>
          <w:rFonts w:hint="eastAsia"/>
          <w:szCs w:val="28"/>
        </w:rPr>
        <w:t>根据</w:t>
      </w:r>
      <w:r>
        <w:rPr>
          <w:rFonts w:hint="eastAsia" w:hAnsi="宋体"/>
          <w:szCs w:val="28"/>
        </w:rPr>
        <w:t>《甘肃省财政厅关于开展</w:t>
      </w:r>
      <w:r>
        <w:rPr>
          <w:rFonts w:hAnsi="宋体"/>
          <w:szCs w:val="28"/>
        </w:rPr>
        <w:t>202</w:t>
      </w:r>
      <w:r>
        <w:rPr>
          <w:rFonts w:hint="eastAsia" w:hAnsi="宋体"/>
          <w:szCs w:val="28"/>
          <w:lang w:val="en-US" w:eastAsia="zh-CN"/>
        </w:rPr>
        <w:t>1</w:t>
      </w:r>
      <w:r>
        <w:rPr>
          <w:rFonts w:hAnsi="宋体"/>
          <w:szCs w:val="28"/>
        </w:rPr>
        <w:t>年度省级预算执行情况绩效</w:t>
      </w:r>
      <w:r>
        <w:rPr>
          <w:rFonts w:hint="eastAsia" w:hAnsi="宋体"/>
          <w:szCs w:val="28"/>
        </w:rPr>
        <w:t>单位自评</w:t>
      </w:r>
      <w:r>
        <w:rPr>
          <w:rFonts w:hAnsi="宋体"/>
          <w:szCs w:val="28"/>
        </w:rPr>
        <w:t>工作的通知》（甘财绩〔202</w:t>
      </w:r>
      <w:r>
        <w:rPr>
          <w:rFonts w:hint="eastAsia" w:hAnsi="宋体"/>
          <w:szCs w:val="28"/>
          <w:lang w:val="en-US" w:eastAsia="zh-CN"/>
        </w:rPr>
        <w:t>1</w:t>
      </w:r>
      <w:r>
        <w:rPr>
          <w:rFonts w:hAnsi="宋体"/>
          <w:szCs w:val="28"/>
        </w:rPr>
        <w:t>〕</w:t>
      </w:r>
      <w:r>
        <w:rPr>
          <w:rFonts w:hint="eastAsia" w:hAnsi="宋体"/>
          <w:szCs w:val="28"/>
          <w:lang w:val="en-US" w:eastAsia="zh-CN"/>
        </w:rPr>
        <w:t>8</w:t>
      </w:r>
      <w:r>
        <w:rPr>
          <w:rFonts w:hAnsi="宋体"/>
          <w:szCs w:val="28"/>
        </w:rPr>
        <w:t>号）</w:t>
      </w:r>
      <w:r>
        <w:rPr>
          <w:rFonts w:hint="eastAsia"/>
          <w:szCs w:val="28"/>
        </w:rPr>
        <w:t>的要求，项目支出指标设置产出指标为</w:t>
      </w:r>
      <w:r>
        <w:rPr>
          <w:rFonts w:hint="eastAsia"/>
          <w:szCs w:val="28"/>
          <w:lang w:val="en-US" w:eastAsia="zh-CN"/>
        </w:rPr>
        <w:t>60</w:t>
      </w:r>
      <w:r>
        <w:rPr>
          <w:rFonts w:hint="eastAsia"/>
          <w:szCs w:val="28"/>
        </w:rPr>
        <w:t>%，效益指标</w:t>
      </w:r>
      <w:r>
        <w:rPr>
          <w:rFonts w:hint="eastAsia"/>
          <w:szCs w:val="28"/>
          <w:lang w:val="en-US" w:eastAsia="zh-CN"/>
        </w:rPr>
        <w:t>25</w:t>
      </w:r>
      <w:r>
        <w:rPr>
          <w:rFonts w:hint="eastAsia"/>
          <w:szCs w:val="28"/>
        </w:rPr>
        <w:t>%，满意度指标</w:t>
      </w:r>
      <w:r>
        <w:rPr>
          <w:rFonts w:hint="eastAsia"/>
          <w:szCs w:val="28"/>
          <w:lang w:val="en-US" w:eastAsia="zh-CN"/>
        </w:rPr>
        <w:t>5</w:t>
      </w:r>
      <w:r>
        <w:rPr>
          <w:rFonts w:hint="eastAsia"/>
          <w:szCs w:val="28"/>
        </w:rPr>
        <w:t>%。</w:t>
      </w:r>
    </w:p>
    <w:p>
      <w:pPr>
        <w:ind w:firstLine="562"/>
        <w:rPr>
          <w:b/>
          <w:bCs/>
          <w:szCs w:val="28"/>
        </w:rPr>
      </w:pPr>
      <w:r>
        <w:rPr>
          <w:rFonts w:hint="eastAsia"/>
          <w:b/>
          <w:bCs/>
          <w:szCs w:val="28"/>
        </w:rPr>
        <w:t>（1）产出指标</w:t>
      </w:r>
    </w:p>
    <w:p>
      <w:pPr>
        <w:ind w:firstLine="560"/>
        <w:rPr>
          <w:szCs w:val="28"/>
        </w:rPr>
      </w:pPr>
      <w:r>
        <w:rPr>
          <w:rFonts w:hint="eastAsia"/>
          <w:szCs w:val="28"/>
        </w:rPr>
        <w:t>产出指标包括产出数量、产出质量和产出时效3个二级指标。总分值</w:t>
      </w:r>
      <w:r>
        <w:rPr>
          <w:rFonts w:hint="eastAsia"/>
          <w:szCs w:val="28"/>
          <w:lang w:val="en-US" w:eastAsia="zh-CN"/>
        </w:rPr>
        <w:t>54</w:t>
      </w:r>
      <w:r>
        <w:rPr>
          <w:rFonts w:hint="eastAsia"/>
          <w:szCs w:val="28"/>
        </w:rPr>
        <w:t>分，得分</w:t>
      </w:r>
      <w:r>
        <w:rPr>
          <w:rFonts w:hint="eastAsia"/>
          <w:szCs w:val="28"/>
          <w:lang w:val="en-US" w:eastAsia="zh-CN"/>
        </w:rPr>
        <w:t>51.35</w:t>
      </w:r>
      <w:r>
        <w:rPr>
          <w:rFonts w:hint="eastAsia"/>
          <w:szCs w:val="28"/>
        </w:rPr>
        <w:t>分，得分率</w:t>
      </w:r>
      <w:r>
        <w:rPr>
          <w:rFonts w:hint="eastAsia"/>
          <w:szCs w:val="28"/>
          <w:lang w:val="en-US" w:eastAsia="zh-CN"/>
        </w:rPr>
        <w:t>95.09</w:t>
      </w:r>
      <w:r>
        <w:rPr>
          <w:rFonts w:hint="eastAsia"/>
          <w:szCs w:val="28"/>
        </w:rPr>
        <w:t>%。</w:t>
      </w:r>
    </w:p>
    <w:p>
      <w:pPr>
        <w:ind w:firstLine="562"/>
        <w:rPr>
          <w:b/>
          <w:bCs/>
          <w:szCs w:val="28"/>
        </w:rPr>
      </w:pPr>
      <w:r>
        <w:rPr>
          <w:rFonts w:hint="eastAsia"/>
          <w:b/>
          <w:bCs/>
          <w:szCs w:val="28"/>
        </w:rPr>
        <w:t>①产出数量：</w:t>
      </w:r>
    </w:p>
    <w:p>
      <w:pPr>
        <w:ind w:firstLine="560"/>
        <w:rPr>
          <w:rFonts w:hAnsi="宋体"/>
          <w:szCs w:val="28"/>
        </w:rPr>
      </w:pPr>
      <w:r>
        <w:rPr>
          <w:rFonts w:hint="eastAsia"/>
        </w:rPr>
        <w:t>产出数量指标下设1</w:t>
      </w:r>
      <w:r>
        <w:t>0</w:t>
      </w:r>
      <w:r>
        <w:rPr>
          <w:rFonts w:hint="eastAsia"/>
        </w:rPr>
        <w:t>个三级指标，</w:t>
      </w:r>
      <w:r>
        <w:rPr>
          <w:rFonts w:hint="eastAsia" w:hAnsi="宋体"/>
          <w:szCs w:val="28"/>
        </w:rPr>
        <w:t>指标权重合计</w:t>
      </w:r>
      <w:r>
        <w:rPr>
          <w:rFonts w:hAnsi="宋体"/>
          <w:szCs w:val="28"/>
        </w:rPr>
        <w:t>2</w:t>
      </w:r>
      <w:r>
        <w:rPr>
          <w:rFonts w:hint="eastAsia" w:hAnsi="宋体"/>
          <w:szCs w:val="28"/>
          <w:lang w:val="en-US" w:eastAsia="zh-CN"/>
        </w:rPr>
        <w:t>4</w:t>
      </w:r>
      <w:r>
        <w:rPr>
          <w:rFonts w:hint="eastAsia" w:hAnsi="宋体"/>
          <w:szCs w:val="28"/>
        </w:rPr>
        <w:t>分，自评得分</w:t>
      </w:r>
      <w:r>
        <w:rPr>
          <w:rFonts w:hint="eastAsia" w:hAnsi="宋体"/>
          <w:szCs w:val="28"/>
          <w:lang w:val="en-US" w:eastAsia="zh-CN"/>
        </w:rPr>
        <w:t>21.35</w:t>
      </w:r>
      <w:r>
        <w:rPr>
          <w:rFonts w:hint="eastAsia" w:hAnsi="宋体"/>
          <w:szCs w:val="28"/>
        </w:rPr>
        <w:t>分，得分率为</w:t>
      </w:r>
      <w:r>
        <w:rPr>
          <w:rFonts w:hint="eastAsia" w:hAnsi="宋体"/>
          <w:szCs w:val="28"/>
          <w:lang w:val="en-US" w:eastAsia="zh-CN"/>
        </w:rPr>
        <w:t>88.96</w:t>
      </w:r>
      <w:r>
        <w:rPr>
          <w:rFonts w:hint="eastAsia" w:hAnsi="宋体"/>
          <w:szCs w:val="28"/>
        </w:rPr>
        <w:t>%。</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560"/>
        <w:gridCol w:w="1559"/>
        <w:gridCol w:w="992"/>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参与调研督导人数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50人</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50</w:t>
            </w:r>
            <w:r>
              <w:rPr>
                <w:rFonts w:ascii="仿宋_GB2312" w:hAnsi="宋体" w:eastAsia="仿宋_GB2312" w:cs="宋体"/>
                <w:color w:val="000000"/>
                <w:kern w:val="0"/>
                <w:sz w:val="24"/>
                <w:szCs w:val="24"/>
              </w:rPr>
              <w:t>人</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rPr>
              <w:t>参会人</w:t>
            </w:r>
            <w:r>
              <w:rPr>
                <w:rFonts w:hint="eastAsia" w:ascii="仿宋_GB2312" w:hAnsi="宋体" w:eastAsia="仿宋_GB2312" w:cs="宋体"/>
                <w:color w:val="000000"/>
                <w:kern w:val="0"/>
                <w:sz w:val="24"/>
                <w:szCs w:val="24"/>
                <w:lang w:eastAsia="zh-CN"/>
              </w:rPr>
              <w:t>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hint="eastAsia" w:ascii="仿宋_GB2312" w:hAnsi="宋体" w:eastAsia="仿宋_GB2312" w:cs="宋体"/>
                <w:color w:val="000000"/>
                <w:kern w:val="0"/>
                <w:sz w:val="24"/>
                <w:szCs w:val="24"/>
                <w:lang w:val="en-US" w:eastAsia="zh-CN"/>
              </w:rPr>
              <w:t>500</w:t>
            </w:r>
            <w:r>
              <w:rPr>
                <w:rFonts w:ascii="仿宋_GB2312" w:hAnsi="宋体" w:eastAsia="仿宋_GB2312" w:cs="宋体"/>
                <w:color w:val="000000"/>
                <w:kern w:val="0"/>
                <w:sz w:val="24"/>
                <w:szCs w:val="24"/>
              </w:rPr>
              <w:t>人</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300人</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1.8</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60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参与培训人数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200人</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170</w:t>
            </w:r>
            <w:r>
              <w:rPr>
                <w:rFonts w:ascii="仿宋_GB2312" w:hAnsi="宋体" w:eastAsia="仿宋_GB2312" w:cs="宋体"/>
                <w:color w:val="000000"/>
                <w:kern w:val="0"/>
                <w:sz w:val="24"/>
                <w:szCs w:val="24"/>
              </w:rPr>
              <w:t>人</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2.55</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85</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维护网站平台数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2个</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2个</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印刷材料份数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6000</w:t>
            </w:r>
            <w:r>
              <w:rPr>
                <w:rFonts w:hint="eastAsia" w:ascii="仿宋_GB2312" w:hAnsi="宋体" w:eastAsia="仿宋_GB2312" w:cs="宋体"/>
                <w:color w:val="000000"/>
                <w:kern w:val="0"/>
                <w:sz w:val="24"/>
                <w:szCs w:val="24"/>
                <w:lang w:eastAsia="zh-CN"/>
              </w:rPr>
              <w:t>份</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ascii="仿宋_GB2312" w:hAnsi="宋体" w:eastAsia="仿宋_GB2312" w:cs="宋体"/>
                <w:color w:val="000000"/>
                <w:kern w:val="0"/>
                <w:sz w:val="24"/>
                <w:szCs w:val="24"/>
              </w:rPr>
              <w:t>6000</w:t>
            </w:r>
            <w:r>
              <w:rPr>
                <w:rFonts w:hint="eastAsia" w:ascii="仿宋_GB2312" w:hAnsi="宋体" w:eastAsia="仿宋_GB2312" w:cs="宋体"/>
                <w:color w:val="000000"/>
                <w:kern w:val="0"/>
                <w:sz w:val="24"/>
                <w:szCs w:val="24"/>
                <w:lang w:eastAsia="zh-CN"/>
              </w:rPr>
              <w:t>份</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召开会议次数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5次</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5</w:t>
            </w:r>
            <w:r>
              <w:rPr>
                <w:rFonts w:ascii="仿宋_GB2312" w:hAnsi="宋体" w:eastAsia="仿宋_GB2312" w:cs="宋体"/>
                <w:color w:val="000000"/>
                <w:kern w:val="0"/>
                <w:sz w:val="24"/>
                <w:szCs w:val="24"/>
              </w:rPr>
              <w:t>次</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组织调研督导次数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8次</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8</w:t>
            </w:r>
            <w:r>
              <w:rPr>
                <w:rFonts w:ascii="仿宋_GB2312" w:hAnsi="宋体" w:eastAsia="仿宋_GB2312" w:cs="宋体"/>
                <w:color w:val="000000"/>
                <w:kern w:val="0"/>
                <w:sz w:val="24"/>
                <w:szCs w:val="24"/>
              </w:rPr>
              <w:t>次</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组织培训场次</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3次</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2</w:t>
            </w:r>
            <w:r>
              <w:rPr>
                <w:rFonts w:ascii="仿宋_GB2312" w:hAnsi="宋体" w:eastAsia="仿宋_GB2312" w:cs="宋体"/>
                <w:color w:val="000000"/>
                <w:kern w:val="0"/>
                <w:sz w:val="24"/>
                <w:szCs w:val="24"/>
              </w:rPr>
              <w:t>次</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2</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66.67</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2"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b/>
                <w:bCs/>
                <w:color w:val="000000"/>
                <w:kern w:val="0"/>
                <w:sz w:val="24"/>
                <w:szCs w:val="24"/>
                <w:lang w:val="en-US" w:eastAsia="zh-CN"/>
              </w:rPr>
            </w:pPr>
            <w:r>
              <w:rPr>
                <w:rFonts w:hint="eastAsia" w:ascii="仿宋_GB2312" w:hAnsi="宋体" w:eastAsia="仿宋_GB2312" w:cs="宋体"/>
                <w:b/>
                <w:bCs/>
                <w:color w:val="000000"/>
                <w:kern w:val="0"/>
                <w:sz w:val="24"/>
                <w:szCs w:val="24"/>
                <w:lang w:val="en-US" w:eastAsia="zh-CN"/>
              </w:rPr>
              <w:t>24</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b/>
                <w:bCs/>
                <w:sz w:val="24"/>
                <w:szCs w:val="24"/>
                <w:lang w:val="en-US" w:eastAsia="zh-CN"/>
              </w:rPr>
            </w:pPr>
            <w:r>
              <w:rPr>
                <w:rFonts w:hint="eastAsia" w:ascii="仿宋_GB2312" w:eastAsia="仿宋_GB2312"/>
                <w:b/>
                <w:bCs/>
                <w:sz w:val="24"/>
                <w:szCs w:val="24"/>
                <w:lang w:val="en-US" w:eastAsia="zh-CN"/>
              </w:rPr>
              <w:t>21.35</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lang w:val="en-US" w:eastAsia="zh-CN"/>
              </w:rPr>
              <w:t>88.96</w:t>
            </w:r>
            <w:r>
              <w:rPr>
                <w:rFonts w:hint="eastAsia" w:ascii="仿宋_GB2312" w:eastAsia="仿宋_GB2312"/>
                <w:b/>
                <w:bCs/>
                <w:sz w:val="24"/>
                <w:szCs w:val="24"/>
              </w:rPr>
              <w:t>%</w:t>
            </w:r>
          </w:p>
        </w:tc>
      </w:tr>
    </w:tbl>
    <w:p>
      <w:pPr>
        <w:ind w:firstLine="562"/>
        <w:rPr>
          <w:rFonts w:hAnsi="宋体"/>
          <w:szCs w:val="28"/>
        </w:rPr>
      </w:pPr>
      <w:r>
        <w:rPr>
          <w:rFonts w:hint="eastAsia"/>
          <w:b/>
          <w:bCs/>
          <w:szCs w:val="28"/>
        </w:rPr>
        <w:t>参与调研督导人数：</w:t>
      </w:r>
      <w:r>
        <w:rPr>
          <w:rFonts w:hint="eastAsia"/>
          <w:szCs w:val="28"/>
        </w:rPr>
        <w:t>2</w:t>
      </w:r>
      <w:r>
        <w:rPr>
          <w:szCs w:val="28"/>
        </w:rPr>
        <w:t>02</w:t>
      </w:r>
      <w:r>
        <w:rPr>
          <w:rFonts w:hint="eastAsia"/>
          <w:szCs w:val="28"/>
          <w:lang w:val="en-US" w:eastAsia="zh-CN"/>
        </w:rPr>
        <w:t>1</w:t>
      </w:r>
      <w:r>
        <w:rPr>
          <w:rFonts w:hint="eastAsia"/>
          <w:szCs w:val="28"/>
        </w:rPr>
        <w:t>年，由9位班子成员带领</w:t>
      </w:r>
      <w:r>
        <w:rPr>
          <w:szCs w:val="28"/>
        </w:rPr>
        <w:t>11个调研组</w:t>
      </w:r>
      <w:r>
        <w:rPr>
          <w:rFonts w:hint="eastAsia"/>
          <w:szCs w:val="28"/>
        </w:rPr>
        <w:t>开展调研督导活动，参与调研人数达到</w:t>
      </w:r>
      <w:r>
        <w:rPr>
          <w:rFonts w:hint="eastAsia"/>
          <w:szCs w:val="28"/>
          <w:lang w:val="en-US" w:eastAsia="zh-CN"/>
        </w:rPr>
        <w:t>50</w:t>
      </w:r>
      <w:r>
        <w:rPr>
          <w:rFonts w:hint="eastAsia"/>
          <w:szCs w:val="28"/>
        </w:rPr>
        <w:t>人。指标权重</w:t>
      </w:r>
      <w:r>
        <w:rPr>
          <w:rFonts w:hint="eastAsia"/>
          <w:szCs w:val="28"/>
          <w:lang w:val="en-US" w:eastAsia="zh-CN"/>
        </w:rPr>
        <w:t>3</w:t>
      </w:r>
      <w:r>
        <w:rPr>
          <w:rFonts w:hint="eastAsia"/>
          <w:szCs w:val="28"/>
        </w:rPr>
        <w:t>分，自评得分</w:t>
      </w:r>
      <w:r>
        <w:rPr>
          <w:rFonts w:hint="eastAsia"/>
          <w:szCs w:val="28"/>
          <w:lang w:val="en-US" w:eastAsia="zh-CN"/>
        </w:rPr>
        <w:t>3</w:t>
      </w:r>
      <w:r>
        <w:rPr>
          <w:rFonts w:hint="eastAsia"/>
          <w:szCs w:val="28"/>
        </w:rPr>
        <w:t>分，得分率</w:t>
      </w:r>
      <w:r>
        <w:rPr>
          <w:rFonts w:hint="eastAsia"/>
          <w:szCs w:val="28"/>
          <w:lang w:val="en-US" w:eastAsia="zh-CN"/>
        </w:rPr>
        <w:t>100</w:t>
      </w:r>
      <w:r>
        <w:rPr>
          <w:rFonts w:hint="eastAsia"/>
          <w:szCs w:val="28"/>
        </w:rPr>
        <w:t>%。</w:t>
      </w:r>
    </w:p>
    <w:p>
      <w:pPr>
        <w:ind w:firstLine="562"/>
      </w:pPr>
      <w:r>
        <w:rPr>
          <w:rFonts w:hint="eastAsia" w:hAnsi="宋体"/>
          <w:b/>
          <w:bCs/>
          <w:szCs w:val="28"/>
        </w:rPr>
        <w:t>参与会议人员：</w:t>
      </w:r>
      <w:r>
        <w:rPr>
          <w:rFonts w:hint="eastAsia"/>
        </w:rPr>
        <w:t>我单位先后组织</w:t>
      </w:r>
      <w:r>
        <w:t>参加中共甘肃省委、省政府主持召开的</w:t>
      </w:r>
      <w:r>
        <w:rPr>
          <w:rFonts w:hint="eastAsia" w:hAnsi="宋体"/>
          <w:szCs w:val="28"/>
        </w:rPr>
        <w:t>协商会、座谈会，参与会议人数达300人。指标权重</w:t>
      </w:r>
      <w:r>
        <w:rPr>
          <w:rFonts w:hint="eastAsia" w:hAnsi="宋体"/>
          <w:szCs w:val="28"/>
          <w:lang w:val="en-US" w:eastAsia="zh-CN"/>
        </w:rPr>
        <w:t>3</w:t>
      </w:r>
      <w:r>
        <w:rPr>
          <w:rFonts w:hint="eastAsia" w:hAnsi="宋体"/>
          <w:szCs w:val="28"/>
        </w:rPr>
        <w:t>分，自评得分1</w:t>
      </w:r>
      <w:r>
        <w:rPr>
          <w:rFonts w:hint="eastAsia" w:hAnsi="宋体"/>
          <w:szCs w:val="28"/>
          <w:lang w:val="en-US" w:eastAsia="zh-CN"/>
        </w:rPr>
        <w:t>.8</w:t>
      </w:r>
      <w:r>
        <w:rPr>
          <w:rFonts w:hint="eastAsia" w:hAnsi="宋体"/>
          <w:szCs w:val="28"/>
        </w:rPr>
        <w:t>分，得分率</w:t>
      </w:r>
      <w:r>
        <w:rPr>
          <w:rFonts w:hint="eastAsia" w:hAnsi="宋体"/>
          <w:szCs w:val="28"/>
          <w:lang w:val="en-US" w:eastAsia="zh-CN"/>
        </w:rPr>
        <w:t>60</w:t>
      </w:r>
      <w:r>
        <w:rPr>
          <w:rFonts w:hint="eastAsia" w:hAnsi="宋体"/>
          <w:szCs w:val="28"/>
        </w:rPr>
        <w:t>%。偏差原因：因为疫情影响缩小培训规模，参会人员减少。改进措施：在设置目标值时，充分考虑到其他因素的影响，避免目标值过低或者过高。</w:t>
      </w:r>
    </w:p>
    <w:p>
      <w:pPr>
        <w:ind w:firstLine="562"/>
        <w:rPr>
          <w:rFonts w:hAnsi="宋体"/>
          <w:b/>
          <w:bCs/>
          <w:szCs w:val="28"/>
        </w:rPr>
      </w:pPr>
      <w:r>
        <w:rPr>
          <w:rFonts w:hint="eastAsia" w:hAnsi="宋体"/>
          <w:b/>
          <w:bCs/>
          <w:szCs w:val="28"/>
        </w:rPr>
        <w:t>参与培训人数：</w:t>
      </w:r>
      <w:r>
        <w:rPr>
          <w:rFonts w:hint="eastAsia" w:hAnsi="宋体"/>
          <w:szCs w:val="28"/>
        </w:rPr>
        <w:t>为进一步加强人才建设，我单位组织举办了骨干盟员培训班、全省新盟员培训班、全省专职干部和宣传通讯员培训班等</w:t>
      </w:r>
      <w:r>
        <w:rPr>
          <w:rFonts w:hint="eastAsia" w:hAnsi="宋体"/>
          <w:szCs w:val="28"/>
          <w:lang w:val="en-US" w:eastAsia="zh-CN"/>
        </w:rPr>
        <w:t>2</w:t>
      </w:r>
      <w:r>
        <w:rPr>
          <w:rFonts w:hint="eastAsia" w:hAnsi="宋体"/>
          <w:szCs w:val="28"/>
        </w:rPr>
        <w:t>期培训班，共培训盟员近</w:t>
      </w:r>
      <w:r>
        <w:rPr>
          <w:rFonts w:hint="eastAsia" w:hAnsi="宋体"/>
          <w:szCs w:val="28"/>
          <w:lang w:val="en-US" w:eastAsia="zh-CN"/>
        </w:rPr>
        <w:t>170</w:t>
      </w:r>
      <w:r>
        <w:rPr>
          <w:rFonts w:hAnsi="宋体"/>
          <w:szCs w:val="28"/>
        </w:rPr>
        <w:t>人</w:t>
      </w:r>
      <w:r>
        <w:rPr>
          <w:rFonts w:hint="eastAsia" w:hAnsi="宋体"/>
          <w:szCs w:val="28"/>
        </w:rPr>
        <w:t>，提高了提高盟员的综合素质。指标权重3分，自评得分</w:t>
      </w:r>
      <w:r>
        <w:rPr>
          <w:rFonts w:hint="eastAsia" w:hAnsi="宋体"/>
          <w:szCs w:val="28"/>
          <w:lang w:val="en-US" w:eastAsia="zh-CN"/>
        </w:rPr>
        <w:t>2.55</w:t>
      </w:r>
      <w:r>
        <w:rPr>
          <w:rFonts w:hint="eastAsia" w:hAnsi="宋体"/>
          <w:szCs w:val="28"/>
        </w:rPr>
        <w:t>分，得分率</w:t>
      </w:r>
      <w:r>
        <w:rPr>
          <w:rFonts w:hint="eastAsia" w:hAnsi="宋体"/>
          <w:szCs w:val="28"/>
          <w:lang w:val="en-US" w:eastAsia="zh-CN"/>
        </w:rPr>
        <w:t>85</w:t>
      </w:r>
      <w:r>
        <w:rPr>
          <w:rFonts w:hint="eastAsia" w:hAnsi="宋体"/>
          <w:szCs w:val="28"/>
        </w:rPr>
        <w:t>%。偏差原因：因为疫情影响缩小培训规模，参与培训人员减少。改进措施：在设置目标值时，充分考虑到其他因素的影响，避免目标值过低或者过高。</w:t>
      </w:r>
    </w:p>
    <w:p>
      <w:pPr>
        <w:ind w:firstLine="562"/>
        <w:rPr>
          <w:rFonts w:hAnsi="宋体"/>
          <w:b/>
          <w:bCs/>
          <w:szCs w:val="28"/>
        </w:rPr>
      </w:pPr>
      <w:r>
        <w:rPr>
          <w:rFonts w:hint="eastAsia" w:hAnsi="宋体"/>
          <w:b/>
          <w:bCs/>
          <w:szCs w:val="28"/>
        </w:rPr>
        <w:t>维护网站平台数：</w:t>
      </w:r>
      <w:r>
        <w:rPr>
          <w:rFonts w:hint="eastAsia"/>
        </w:rPr>
        <w:t>我单位对民盟甘肃网、民盟甘肃省委员会官方微信公众号2个网站进行了全年的日常运行维护，</w:t>
      </w:r>
      <w:r>
        <w:rPr>
          <w:rFonts w:hint="eastAsia" w:hAnsi="仿宋"/>
          <w:szCs w:val="32"/>
        </w:rPr>
        <w:t>加强了宣传阵地的建设和管理。指标权重3分，自评得分3分，得分率1</w:t>
      </w:r>
      <w:r>
        <w:rPr>
          <w:rFonts w:hAnsi="仿宋"/>
          <w:szCs w:val="32"/>
        </w:rPr>
        <w:t>00</w:t>
      </w:r>
      <w:r>
        <w:rPr>
          <w:rFonts w:hint="eastAsia" w:hAnsi="仿宋"/>
          <w:szCs w:val="32"/>
        </w:rPr>
        <w:t>%。</w:t>
      </w:r>
    </w:p>
    <w:p>
      <w:pPr>
        <w:ind w:firstLine="562"/>
      </w:pPr>
      <w:r>
        <w:rPr>
          <w:rFonts w:hint="eastAsia" w:hAnsi="宋体"/>
          <w:b/>
          <w:bCs/>
          <w:szCs w:val="28"/>
        </w:rPr>
        <w:t>印刷材料份数：</w:t>
      </w:r>
      <w:r>
        <w:rPr>
          <w:rFonts w:hint="eastAsia"/>
        </w:rPr>
        <w:t>2</w:t>
      </w:r>
      <w:r>
        <w:t>02</w:t>
      </w:r>
      <w:r>
        <w:rPr>
          <w:rFonts w:hint="eastAsia"/>
          <w:lang w:val="en-US" w:eastAsia="zh-CN"/>
        </w:rPr>
        <w:t>1</w:t>
      </w:r>
      <w:r>
        <w:t>年</w:t>
      </w:r>
      <w:r>
        <w:rPr>
          <w:rFonts w:hint="eastAsia"/>
        </w:rPr>
        <w:t>我单位印刷《甘肃盟讯》、文件材料等约6</w:t>
      </w:r>
      <w:r>
        <w:t>000</w:t>
      </w:r>
      <w:r>
        <w:rPr>
          <w:rFonts w:hint="eastAsia"/>
        </w:rPr>
        <w:t>份左右，统筹开展各类宣传活动，营造了浓厚的舆论氛围。</w:t>
      </w:r>
      <w:r>
        <w:rPr>
          <w:rFonts w:hint="eastAsia" w:hAnsi="仿宋"/>
          <w:szCs w:val="32"/>
        </w:rPr>
        <w:t>指标权重</w:t>
      </w:r>
      <w:r>
        <w:rPr>
          <w:rFonts w:hint="eastAsia" w:hAnsi="仿宋"/>
          <w:szCs w:val="32"/>
          <w:lang w:val="en-US" w:eastAsia="zh-CN"/>
        </w:rPr>
        <w:t>3</w:t>
      </w:r>
      <w:r>
        <w:rPr>
          <w:rFonts w:hint="eastAsia" w:hAnsi="仿宋"/>
          <w:szCs w:val="32"/>
        </w:rPr>
        <w:t>分，自评得分</w:t>
      </w:r>
      <w:r>
        <w:rPr>
          <w:rFonts w:hint="eastAsia" w:hAnsi="仿宋"/>
          <w:szCs w:val="32"/>
          <w:lang w:val="en-US" w:eastAsia="zh-CN"/>
        </w:rPr>
        <w:t>3</w:t>
      </w:r>
      <w:r>
        <w:rPr>
          <w:rFonts w:hint="eastAsia" w:hAnsi="仿宋"/>
          <w:szCs w:val="32"/>
        </w:rPr>
        <w:t>分，得分率1</w:t>
      </w:r>
      <w:r>
        <w:rPr>
          <w:rFonts w:hAnsi="仿宋"/>
          <w:szCs w:val="32"/>
        </w:rPr>
        <w:t>00</w:t>
      </w:r>
      <w:r>
        <w:rPr>
          <w:rFonts w:hint="eastAsia" w:hAnsi="仿宋"/>
          <w:szCs w:val="32"/>
        </w:rPr>
        <w:t>%。</w:t>
      </w:r>
    </w:p>
    <w:p>
      <w:pPr>
        <w:ind w:firstLine="562"/>
        <w:rPr>
          <w:rFonts w:hAnsi="宋体"/>
          <w:b/>
          <w:bCs/>
          <w:szCs w:val="28"/>
        </w:rPr>
      </w:pPr>
      <w:r>
        <w:rPr>
          <w:rFonts w:hint="eastAsia" w:hAnsi="宋体"/>
          <w:b/>
          <w:bCs/>
          <w:szCs w:val="28"/>
        </w:rPr>
        <w:t>召开会议次数：</w:t>
      </w:r>
      <w:r>
        <w:t>202</w:t>
      </w:r>
      <w:r>
        <w:rPr>
          <w:rFonts w:hint="eastAsia"/>
          <w:lang w:val="en-US" w:eastAsia="zh-CN"/>
        </w:rPr>
        <w:t>1年</w:t>
      </w:r>
      <w:r>
        <w:t>参政议政部积极走访省直相关部门，并分别组织召开专委会工作会议，</w:t>
      </w:r>
      <w:r>
        <w:rPr>
          <w:rFonts w:hint="eastAsia"/>
        </w:rPr>
        <w:t>统筹安排全年调查研究工作。指标权重</w:t>
      </w:r>
      <w:r>
        <w:rPr>
          <w:rFonts w:hint="eastAsia"/>
          <w:lang w:val="en-US" w:eastAsia="zh-CN"/>
        </w:rPr>
        <w:t>3</w:t>
      </w:r>
      <w:r>
        <w:rPr>
          <w:rFonts w:hint="eastAsia"/>
        </w:rPr>
        <w:t>分，自评得分</w:t>
      </w:r>
      <w:r>
        <w:rPr>
          <w:rFonts w:hint="eastAsia"/>
          <w:lang w:val="en-US" w:eastAsia="zh-CN"/>
        </w:rPr>
        <w:t>3</w:t>
      </w:r>
      <w:r>
        <w:rPr>
          <w:rFonts w:hint="eastAsia"/>
        </w:rPr>
        <w:t>分，得分率</w:t>
      </w:r>
      <w:r>
        <w:rPr>
          <w:rFonts w:hint="eastAsia"/>
          <w:lang w:val="en-US" w:eastAsia="zh-CN"/>
        </w:rPr>
        <w:t>100</w:t>
      </w:r>
      <w:r>
        <w:rPr>
          <w:rFonts w:hint="eastAsia"/>
        </w:rPr>
        <w:t>%。</w:t>
      </w:r>
    </w:p>
    <w:p>
      <w:pPr>
        <w:ind w:firstLine="562"/>
        <w:rPr>
          <w:rFonts w:hAnsi="宋体"/>
          <w:b/>
          <w:bCs/>
          <w:szCs w:val="28"/>
        </w:rPr>
      </w:pPr>
      <w:r>
        <w:rPr>
          <w:rFonts w:hint="eastAsia" w:hAnsi="宋体"/>
          <w:b/>
          <w:bCs/>
          <w:szCs w:val="28"/>
        </w:rPr>
        <w:t>组织调研督导次数：</w:t>
      </w:r>
      <w:r>
        <w:rPr>
          <w:rFonts w:hint="eastAsia"/>
          <w:lang w:eastAsia="zh-CN"/>
        </w:rPr>
        <w:t>我单位启动实施黄河流域生态保护和高质量发展战略专项民主监督，</w:t>
      </w:r>
      <w:r>
        <w:rPr>
          <w:rFonts w:hint="eastAsia"/>
        </w:rPr>
        <w:t>领导</w:t>
      </w:r>
      <w:r>
        <w:rPr>
          <w:rFonts w:hint="eastAsia"/>
          <w:lang w:eastAsia="zh-CN"/>
        </w:rPr>
        <w:t>班子成员先后</w:t>
      </w:r>
      <w:r>
        <w:rPr>
          <w:rFonts w:hint="eastAsia"/>
          <w:lang w:val="en-US" w:eastAsia="zh-CN"/>
        </w:rPr>
        <w:t>3次</w:t>
      </w:r>
      <w:r>
        <w:rPr>
          <w:rFonts w:hint="eastAsia"/>
        </w:rPr>
        <w:t>带队赴</w:t>
      </w:r>
      <w:r>
        <w:rPr>
          <w:rFonts w:hint="eastAsia"/>
          <w:lang w:eastAsia="zh-CN"/>
        </w:rPr>
        <w:t>甘南州、甘肃省文旅厅开展</w:t>
      </w:r>
      <w:r>
        <w:rPr>
          <w:rFonts w:hint="eastAsia"/>
        </w:rPr>
        <w:t>调研，</w:t>
      </w:r>
      <w:r>
        <w:rPr>
          <w:rFonts w:hint="eastAsia"/>
          <w:lang w:eastAsia="zh-CN"/>
        </w:rPr>
        <w:t>聚焦生态保护、高质量发展、文化传承保护</w:t>
      </w:r>
      <w:r>
        <w:rPr>
          <w:rFonts w:hint="eastAsia"/>
        </w:rPr>
        <w:t>等重点领域问题，向</w:t>
      </w:r>
      <w:r>
        <w:rPr>
          <w:rFonts w:hint="eastAsia"/>
          <w:lang w:eastAsia="zh-CN"/>
        </w:rPr>
        <w:t>甘南州</w:t>
      </w:r>
      <w:r>
        <w:rPr>
          <w:rFonts w:hint="eastAsia"/>
        </w:rPr>
        <w:t>方面反馈</w:t>
      </w:r>
      <w:r>
        <w:rPr>
          <w:rFonts w:hint="eastAsia"/>
          <w:lang w:val="en-US" w:eastAsia="zh-CN"/>
        </w:rPr>
        <w:t>4</w:t>
      </w:r>
      <w:r>
        <w:rPr>
          <w:rFonts w:hint="eastAsia"/>
        </w:rPr>
        <w:t>大方面</w:t>
      </w:r>
      <w:r>
        <w:rPr>
          <w:rFonts w:hint="eastAsia"/>
          <w:lang w:val="en-US" w:eastAsia="zh-CN"/>
        </w:rPr>
        <w:t>15</w:t>
      </w:r>
      <w:r>
        <w:rPr>
          <w:rFonts w:hint="eastAsia"/>
        </w:rPr>
        <w:t>个问题，提出意见建议</w:t>
      </w:r>
      <w:r>
        <w:rPr>
          <w:rFonts w:hint="eastAsia"/>
          <w:lang w:val="en-US" w:eastAsia="zh-CN"/>
        </w:rPr>
        <w:t>3</w:t>
      </w:r>
      <w:r>
        <w:rPr>
          <w:rFonts w:hint="eastAsia"/>
        </w:rPr>
        <w:t>0余条。</w:t>
      </w:r>
      <w:r>
        <w:rPr>
          <w:rFonts w:hint="eastAsia" w:hAnsi="宋体"/>
          <w:szCs w:val="28"/>
        </w:rPr>
        <w:t>指标权重</w:t>
      </w:r>
      <w:r>
        <w:rPr>
          <w:rFonts w:hint="eastAsia" w:hAnsi="宋体"/>
          <w:szCs w:val="28"/>
          <w:lang w:val="en-US" w:eastAsia="zh-CN"/>
        </w:rPr>
        <w:t>3</w:t>
      </w:r>
      <w:r>
        <w:rPr>
          <w:rFonts w:hint="eastAsia" w:hAnsi="宋体"/>
          <w:szCs w:val="28"/>
        </w:rPr>
        <w:t>分，自评得分</w:t>
      </w:r>
      <w:r>
        <w:rPr>
          <w:rFonts w:hint="eastAsia" w:hAnsi="宋体"/>
          <w:szCs w:val="28"/>
          <w:lang w:val="en-US" w:eastAsia="zh-CN"/>
        </w:rPr>
        <w:t>3</w:t>
      </w:r>
      <w:r>
        <w:rPr>
          <w:rFonts w:hint="eastAsia" w:hAnsi="宋体"/>
          <w:szCs w:val="28"/>
        </w:rPr>
        <w:t>分，得分率</w:t>
      </w:r>
      <w:r>
        <w:rPr>
          <w:rFonts w:hint="eastAsia" w:hAnsi="宋体"/>
          <w:szCs w:val="28"/>
          <w:lang w:val="en-US" w:eastAsia="zh-CN"/>
        </w:rPr>
        <w:t>100</w:t>
      </w:r>
      <w:r>
        <w:rPr>
          <w:rFonts w:hint="eastAsia" w:hAnsi="宋体"/>
          <w:szCs w:val="28"/>
        </w:rPr>
        <w:t>%。</w:t>
      </w:r>
    </w:p>
    <w:p>
      <w:pPr>
        <w:ind w:firstLine="562"/>
        <w:rPr>
          <w:rFonts w:hAnsi="宋体"/>
          <w:b/>
          <w:bCs/>
          <w:szCs w:val="28"/>
        </w:rPr>
      </w:pPr>
      <w:r>
        <w:rPr>
          <w:rFonts w:hint="eastAsia" w:hAnsi="宋体"/>
          <w:b/>
          <w:bCs/>
          <w:szCs w:val="28"/>
        </w:rPr>
        <w:t>组织培训场次：</w:t>
      </w:r>
      <w:r>
        <w:rPr>
          <w:rFonts w:hint="eastAsia"/>
        </w:rPr>
        <w:t>我单位全年共举办骨干盟员培训班、全省新盟员培训班、全省专职干部和宣传通讯员培训班等</w:t>
      </w:r>
      <w:r>
        <w:rPr>
          <w:rFonts w:hint="eastAsia"/>
          <w:lang w:val="en-US" w:eastAsia="zh-CN"/>
        </w:rPr>
        <w:t>2</w:t>
      </w:r>
      <w:r>
        <w:rPr>
          <w:rFonts w:hint="eastAsia"/>
        </w:rPr>
        <w:t>期</w:t>
      </w:r>
      <w:r>
        <w:t>培训</w:t>
      </w:r>
      <w:r>
        <w:rPr>
          <w:rFonts w:hint="eastAsia"/>
        </w:rPr>
        <w:t>班</w:t>
      </w:r>
      <w:r>
        <w:t>，</w:t>
      </w:r>
      <w:r>
        <w:rPr>
          <w:rFonts w:hint="eastAsia"/>
        </w:rPr>
        <w:t>加强了队伍建设。指标权重</w:t>
      </w:r>
      <w:r>
        <w:rPr>
          <w:rFonts w:hint="eastAsia"/>
          <w:lang w:val="en-US" w:eastAsia="zh-CN"/>
        </w:rPr>
        <w:t>3</w:t>
      </w:r>
      <w:r>
        <w:rPr>
          <w:rFonts w:hint="eastAsia"/>
        </w:rPr>
        <w:t>分，自评得分</w:t>
      </w:r>
      <w:r>
        <w:rPr>
          <w:rFonts w:hint="eastAsia"/>
          <w:lang w:val="en-US" w:eastAsia="zh-CN"/>
        </w:rPr>
        <w:t>2</w:t>
      </w:r>
      <w:r>
        <w:rPr>
          <w:rFonts w:hint="eastAsia"/>
        </w:rPr>
        <w:t>分，得分率</w:t>
      </w:r>
      <w:r>
        <w:rPr>
          <w:rFonts w:hint="eastAsia"/>
          <w:lang w:val="en-US" w:eastAsia="zh-CN"/>
        </w:rPr>
        <w:t>66.67</w:t>
      </w:r>
      <w:r>
        <w:rPr>
          <w:rFonts w:hint="eastAsia"/>
        </w:rPr>
        <w:t>%。偏差原因：因为疫情影响缩小培训规模，组织培训场次减少。改进措施：在设置目标值时，充分考虑到其他因素的影响，避免目标值过低或者过高。</w:t>
      </w:r>
    </w:p>
    <w:p>
      <w:pPr>
        <w:ind w:firstLine="562"/>
        <w:rPr>
          <w:b/>
          <w:bCs/>
          <w:szCs w:val="28"/>
          <w:highlight w:val="none"/>
        </w:rPr>
      </w:pPr>
      <w:r>
        <w:rPr>
          <w:rFonts w:hint="eastAsia"/>
          <w:b/>
          <w:bCs/>
          <w:szCs w:val="28"/>
          <w:highlight w:val="none"/>
        </w:rPr>
        <w:t>②产出质量：</w:t>
      </w:r>
    </w:p>
    <w:p>
      <w:pPr>
        <w:ind w:firstLine="560"/>
        <w:rPr>
          <w:rFonts w:hAnsi="宋体"/>
          <w:szCs w:val="28"/>
        </w:rPr>
      </w:pPr>
      <w:r>
        <w:rPr>
          <w:rFonts w:hint="eastAsia"/>
        </w:rPr>
        <w:t>产出质量指标下设</w:t>
      </w:r>
      <w:r>
        <w:rPr>
          <w:rFonts w:hint="eastAsia"/>
          <w:lang w:val="en-US" w:eastAsia="zh-CN"/>
        </w:rPr>
        <w:t>5</w:t>
      </w:r>
      <w:r>
        <w:rPr>
          <w:rFonts w:hint="eastAsia"/>
        </w:rPr>
        <w:t>个三级指标，</w:t>
      </w:r>
      <w:r>
        <w:rPr>
          <w:rFonts w:hint="eastAsia" w:hAnsi="宋体"/>
          <w:szCs w:val="28"/>
        </w:rPr>
        <w:t>指标权重合计</w:t>
      </w:r>
      <w:r>
        <w:rPr>
          <w:rFonts w:hAnsi="宋体"/>
          <w:szCs w:val="28"/>
        </w:rPr>
        <w:t>1</w:t>
      </w:r>
      <w:r>
        <w:rPr>
          <w:rFonts w:hint="eastAsia" w:hAnsi="宋体"/>
          <w:szCs w:val="28"/>
          <w:lang w:val="en-US" w:eastAsia="zh-CN"/>
        </w:rPr>
        <w:t>5</w:t>
      </w:r>
      <w:r>
        <w:rPr>
          <w:rFonts w:hint="eastAsia" w:hAnsi="宋体"/>
          <w:szCs w:val="28"/>
        </w:rPr>
        <w:t>分，自评得分</w:t>
      </w:r>
      <w:r>
        <w:rPr>
          <w:rFonts w:hAnsi="宋体"/>
          <w:szCs w:val="28"/>
        </w:rPr>
        <w:t>1</w:t>
      </w:r>
      <w:r>
        <w:rPr>
          <w:rFonts w:hint="eastAsia" w:hAnsi="宋体"/>
          <w:szCs w:val="28"/>
          <w:lang w:val="en-US" w:eastAsia="zh-CN"/>
        </w:rPr>
        <w:t>5</w:t>
      </w:r>
      <w:r>
        <w:rPr>
          <w:rFonts w:hint="eastAsia" w:hAnsi="宋体"/>
          <w:szCs w:val="28"/>
        </w:rPr>
        <w:t>分，得分率为</w:t>
      </w:r>
      <w:r>
        <w:rPr>
          <w:rFonts w:hAnsi="宋体"/>
          <w:szCs w:val="28"/>
        </w:rPr>
        <w:t>100</w:t>
      </w:r>
      <w:r>
        <w:rPr>
          <w:rFonts w:hint="eastAsia" w:hAnsi="宋体"/>
          <w:szCs w:val="28"/>
        </w:rPr>
        <w:t>%。</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701"/>
        <w:gridCol w:w="1559"/>
        <w:gridCol w:w="851"/>
        <w:gridCol w:w="850"/>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7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材料印刷合格率</w:t>
            </w:r>
          </w:p>
        </w:tc>
        <w:tc>
          <w:tcPr>
            <w:tcW w:w="17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98%</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3</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3</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会议成果应用率</w:t>
            </w:r>
          </w:p>
        </w:tc>
        <w:tc>
          <w:tcPr>
            <w:tcW w:w="17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90%</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3</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3</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培训考核合格率</w:t>
            </w:r>
          </w:p>
        </w:tc>
        <w:tc>
          <w:tcPr>
            <w:tcW w:w="17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95%</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szCs w:val="24"/>
                <w:lang w:val="en-US" w:eastAsia="zh-CN"/>
              </w:rPr>
              <w:t>3</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hAnsiTheme="majorHAnsi" w:cstheme="majorBidi"/>
                <w:kern w:val="2"/>
                <w:sz w:val="24"/>
                <w:szCs w:val="24"/>
                <w:lang w:val="en-US" w:eastAsia="zh-CN" w:bidi="ar-SA"/>
              </w:rPr>
            </w:pPr>
            <w:r>
              <w:rPr>
                <w:rFonts w:hint="eastAsia" w:ascii="仿宋_GB2312" w:eastAsia="仿宋_GB2312"/>
                <w:sz w:val="24"/>
                <w:szCs w:val="24"/>
                <w:lang w:val="en-US" w:eastAsia="zh-CN"/>
              </w:rPr>
              <w:t>3</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网站运行稳定率</w:t>
            </w:r>
          </w:p>
        </w:tc>
        <w:tc>
          <w:tcPr>
            <w:tcW w:w="17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95%</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szCs w:val="24"/>
                <w:lang w:val="en-US" w:eastAsia="zh-CN"/>
              </w:rPr>
              <w:t>3</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hAnsiTheme="majorHAnsi" w:cstheme="majorBidi"/>
                <w:kern w:val="2"/>
                <w:sz w:val="24"/>
                <w:szCs w:val="24"/>
                <w:lang w:val="en-US" w:eastAsia="zh-CN" w:bidi="ar-SA"/>
              </w:rPr>
            </w:pPr>
            <w:r>
              <w:rPr>
                <w:rFonts w:hint="eastAsia" w:ascii="仿宋_GB2312" w:eastAsia="仿宋_GB2312"/>
                <w:sz w:val="24"/>
                <w:szCs w:val="24"/>
                <w:lang w:val="en-US" w:eastAsia="zh-CN"/>
              </w:rPr>
              <w:t>3</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组织调研督导有效率</w:t>
            </w:r>
          </w:p>
        </w:tc>
        <w:tc>
          <w:tcPr>
            <w:tcW w:w="17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95%</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color w:val="000000"/>
                <w:kern w:val="0"/>
                <w:sz w:val="24"/>
                <w:szCs w:val="24"/>
                <w:lang w:val="en-US" w:eastAsia="zh-CN" w:bidi="ar-SA"/>
              </w:rPr>
            </w:pPr>
            <w:r>
              <w:rPr>
                <w:rFonts w:hint="eastAsia" w:ascii="仿宋_GB2312" w:hAnsi="宋体" w:eastAsia="仿宋_GB2312" w:cs="宋体"/>
                <w:color w:val="000000"/>
                <w:kern w:val="0"/>
                <w:sz w:val="24"/>
                <w:szCs w:val="24"/>
                <w:lang w:val="en-US" w:eastAsia="zh-CN"/>
              </w:rPr>
              <w:t>3</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hAnsiTheme="majorHAnsi" w:cstheme="majorBidi"/>
                <w:kern w:val="2"/>
                <w:sz w:val="24"/>
                <w:szCs w:val="24"/>
                <w:lang w:val="en-US" w:eastAsia="zh-CN" w:bidi="ar-SA"/>
              </w:rPr>
            </w:pPr>
            <w:r>
              <w:rPr>
                <w:rFonts w:hint="eastAsia" w:ascii="仿宋_GB2312" w:eastAsia="仿宋_GB2312"/>
                <w:sz w:val="24"/>
                <w:szCs w:val="24"/>
                <w:lang w:val="en-US" w:eastAsia="zh-CN"/>
              </w:rPr>
              <w:t>3</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5"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b/>
                <w:bCs/>
                <w:color w:val="000000"/>
                <w:kern w:val="0"/>
                <w:sz w:val="24"/>
                <w:szCs w:val="24"/>
                <w:lang w:val="en-US" w:eastAsia="zh-CN"/>
              </w:rPr>
            </w:pPr>
            <w:r>
              <w:rPr>
                <w:rFonts w:hint="eastAsia" w:ascii="仿宋_GB2312" w:hAnsi="宋体" w:eastAsia="仿宋_GB2312" w:cs="宋体"/>
                <w:b/>
                <w:bCs/>
                <w:color w:val="000000"/>
                <w:kern w:val="0"/>
                <w:sz w:val="24"/>
                <w:szCs w:val="24"/>
                <w:lang w:val="en-US" w:eastAsia="zh-CN"/>
              </w:rPr>
              <w:t>15</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b/>
                <w:bCs/>
                <w:sz w:val="24"/>
                <w:szCs w:val="24"/>
                <w:lang w:val="en-US" w:eastAsia="zh-CN"/>
              </w:rPr>
            </w:pPr>
            <w:r>
              <w:rPr>
                <w:rFonts w:hint="eastAsia" w:ascii="仿宋_GB2312" w:eastAsia="仿宋_GB2312"/>
                <w:b/>
                <w:bCs/>
                <w:sz w:val="24"/>
                <w:szCs w:val="24"/>
                <w:lang w:val="en-US" w:eastAsia="zh-CN"/>
              </w:rPr>
              <w:t>15</w:t>
            </w:r>
          </w:p>
        </w:tc>
        <w:tc>
          <w:tcPr>
            <w:tcW w:w="99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pPr>
      <w:r>
        <w:rPr>
          <w:rFonts w:hint="eastAsia"/>
          <w:b/>
          <w:bCs/>
          <w:szCs w:val="28"/>
        </w:rPr>
        <w:t>材料印刷合格率：</w:t>
      </w:r>
      <w:r>
        <w:rPr>
          <w:rFonts w:hint="eastAsia"/>
        </w:rPr>
        <w:t>我单位出版的《甘肃盟讯》以及印刷的各文件资料全部合格，材料印刷合格率达1</w:t>
      </w:r>
      <w:r>
        <w:t>00</w:t>
      </w:r>
      <w:r>
        <w:rPr>
          <w:rFonts w:hint="eastAsia"/>
        </w:rPr>
        <w:t>%。指标权重</w:t>
      </w:r>
      <w:r>
        <w:rPr>
          <w:rFonts w:hint="eastAsia"/>
          <w:lang w:val="en-US" w:eastAsia="zh-CN"/>
        </w:rPr>
        <w:t>3</w:t>
      </w:r>
      <w:r>
        <w:rPr>
          <w:rFonts w:hint="eastAsia"/>
        </w:rPr>
        <w:t>分，自评得分</w:t>
      </w:r>
      <w:r>
        <w:rPr>
          <w:rFonts w:hint="eastAsia"/>
          <w:lang w:val="en-US" w:eastAsia="zh-CN"/>
        </w:rPr>
        <w:t>3</w:t>
      </w:r>
      <w:r>
        <w:rPr>
          <w:rFonts w:hint="eastAsia"/>
        </w:rPr>
        <w:t>分，得分率1</w:t>
      </w:r>
      <w:r>
        <w:t>00</w:t>
      </w:r>
      <w:r>
        <w:rPr>
          <w:rFonts w:hint="eastAsia"/>
        </w:rPr>
        <w:t>%。</w:t>
      </w:r>
    </w:p>
    <w:p>
      <w:pPr>
        <w:ind w:firstLine="562"/>
      </w:pPr>
      <w:r>
        <w:rPr>
          <w:rFonts w:hint="eastAsia"/>
          <w:b/>
          <w:bCs/>
          <w:szCs w:val="28"/>
        </w:rPr>
        <w:t>会议成果应用率：</w:t>
      </w:r>
      <w:r>
        <w:rPr>
          <w:rFonts w:hint="eastAsia"/>
          <w:lang w:eastAsia="zh-CN"/>
        </w:rPr>
        <w:t>一年来，组织主委会议、常委会议集中学习</w:t>
      </w:r>
      <w:r>
        <w:rPr>
          <w:rFonts w:hint="eastAsia"/>
          <w:lang w:val="en-US" w:eastAsia="zh-CN"/>
        </w:rPr>
        <w:t>9</w:t>
      </w:r>
      <w:r>
        <w:rPr>
          <w:rFonts w:hint="eastAsia"/>
          <w:lang w:eastAsia="zh-CN"/>
        </w:rPr>
        <w:t>次，机关学习</w:t>
      </w:r>
      <w:r>
        <w:rPr>
          <w:rFonts w:hint="eastAsia"/>
          <w:lang w:val="en-US" w:eastAsia="zh-CN"/>
        </w:rPr>
        <w:t>68次、</w:t>
      </w:r>
      <w:r>
        <w:rPr>
          <w:rFonts w:hint="eastAsia"/>
          <w:lang w:eastAsia="zh-CN"/>
        </w:rPr>
        <w:t>研讨</w:t>
      </w:r>
      <w:r>
        <w:rPr>
          <w:rFonts w:hint="eastAsia"/>
          <w:lang w:val="en-US" w:eastAsia="zh-CN"/>
        </w:rPr>
        <w:t>11次，</w:t>
      </w:r>
      <w:r>
        <w:rPr>
          <w:rFonts w:hint="eastAsia"/>
          <w:lang w:eastAsia="zh-CN"/>
        </w:rPr>
        <w:t>青年理论学习小组活动</w:t>
      </w:r>
      <w:r>
        <w:rPr>
          <w:rFonts w:hint="eastAsia"/>
          <w:lang w:val="en-US" w:eastAsia="zh-CN"/>
        </w:rPr>
        <w:t>11次</w:t>
      </w:r>
      <w:r>
        <w:rPr>
          <w:rFonts w:hint="eastAsia"/>
          <w:lang w:eastAsia="zh-CN"/>
        </w:rPr>
        <w:t>，领悟新思想、领略新成就，更加深切感受到中国共产党领导和中国特色社会主义制度的显著优势，进一步筑牢了共同思想政治基础。紧紧抓住参政党建设中长期存在的难点问题开展研究，中标民盟中央《中国共产党领导的多党合作和政治协商制度的特点和优势》理论课题，完成《新型政党制度与民盟》第五章“新型政党制度的理论基础和思想资源”撰写工作，做到履职上求深求实</w:t>
      </w:r>
      <w:r>
        <w:rPr>
          <w:rFonts w:hint="eastAsia"/>
        </w:rPr>
        <w:t>。指标权重</w:t>
      </w:r>
      <w:r>
        <w:rPr>
          <w:rFonts w:hint="eastAsia"/>
          <w:lang w:val="en-US" w:eastAsia="zh-CN"/>
        </w:rPr>
        <w:t>3</w:t>
      </w:r>
      <w:r>
        <w:rPr>
          <w:rFonts w:hint="eastAsia"/>
        </w:rPr>
        <w:t>分，自评得分</w:t>
      </w:r>
      <w:r>
        <w:rPr>
          <w:rFonts w:hint="eastAsia"/>
          <w:lang w:val="en-US" w:eastAsia="zh-CN"/>
        </w:rPr>
        <w:t>3</w:t>
      </w:r>
      <w:r>
        <w:rPr>
          <w:rFonts w:hint="eastAsia"/>
        </w:rPr>
        <w:t>分，得分率1</w:t>
      </w:r>
      <w:r>
        <w:t>00</w:t>
      </w:r>
      <w:r>
        <w:rPr>
          <w:rFonts w:hint="eastAsia"/>
        </w:rPr>
        <w:t>%。</w:t>
      </w:r>
    </w:p>
    <w:p>
      <w:pPr>
        <w:ind w:firstLine="562"/>
        <w:rPr>
          <w:szCs w:val="28"/>
        </w:rPr>
      </w:pPr>
      <w:r>
        <w:rPr>
          <w:rFonts w:hint="eastAsia"/>
          <w:b/>
          <w:bCs/>
          <w:szCs w:val="28"/>
        </w:rPr>
        <w:t>培训考核合格率：</w:t>
      </w:r>
      <w:r>
        <w:rPr>
          <w:rFonts w:hint="eastAsia"/>
          <w:szCs w:val="28"/>
        </w:rPr>
        <w:t>参加培训的学员均通过考核，培训考核通过率达1</w:t>
      </w:r>
      <w:r>
        <w:rPr>
          <w:szCs w:val="28"/>
        </w:rPr>
        <w:t>00</w:t>
      </w:r>
      <w:r>
        <w:rPr>
          <w:rFonts w:hint="eastAsia"/>
          <w:szCs w:val="28"/>
        </w:rPr>
        <w:t>%。指标权重</w:t>
      </w:r>
      <w:r>
        <w:rPr>
          <w:rFonts w:hint="eastAsia"/>
          <w:szCs w:val="28"/>
          <w:lang w:val="en-US" w:eastAsia="zh-CN"/>
        </w:rPr>
        <w:t>3</w:t>
      </w:r>
      <w:r>
        <w:rPr>
          <w:rFonts w:hint="eastAsia"/>
          <w:szCs w:val="28"/>
        </w:rPr>
        <w:t>分，自评得分</w:t>
      </w:r>
      <w:r>
        <w:rPr>
          <w:rFonts w:hint="eastAsia"/>
          <w:szCs w:val="28"/>
          <w:lang w:val="en-US" w:eastAsia="zh-CN"/>
        </w:rPr>
        <w:t>3</w:t>
      </w:r>
      <w:r>
        <w:rPr>
          <w:rFonts w:hint="eastAsia"/>
          <w:szCs w:val="28"/>
        </w:rPr>
        <w:t>分，得分率1</w:t>
      </w:r>
      <w:r>
        <w:rPr>
          <w:szCs w:val="28"/>
        </w:rPr>
        <w:t>00</w:t>
      </w:r>
      <w:r>
        <w:rPr>
          <w:rFonts w:hint="eastAsia"/>
          <w:szCs w:val="28"/>
        </w:rPr>
        <w:t>%。</w:t>
      </w:r>
    </w:p>
    <w:p>
      <w:pPr>
        <w:ind w:firstLine="562"/>
      </w:pPr>
      <w:r>
        <w:rPr>
          <w:rFonts w:hint="eastAsia"/>
          <w:b/>
          <w:bCs/>
          <w:szCs w:val="28"/>
        </w:rPr>
        <w:t>网站运行稳定率：</w:t>
      </w:r>
      <w:r>
        <w:rPr>
          <w:rFonts w:hint="eastAsia"/>
        </w:rPr>
        <w:t>经对系统有效地运行维护，我单位2个网站运行稳定率达1</w:t>
      </w:r>
      <w:r>
        <w:t>00</w:t>
      </w:r>
      <w:r>
        <w:rPr>
          <w:rFonts w:hint="eastAsia"/>
        </w:rPr>
        <w:t>%，为我院开展各类宣传活动提供了平台基础。指标权重</w:t>
      </w:r>
      <w:r>
        <w:rPr>
          <w:rFonts w:hint="eastAsia"/>
          <w:lang w:val="en-US" w:eastAsia="zh-CN"/>
        </w:rPr>
        <w:t>3</w:t>
      </w:r>
      <w:r>
        <w:rPr>
          <w:rFonts w:hint="eastAsia"/>
        </w:rPr>
        <w:t>分，自评得分</w:t>
      </w:r>
      <w:r>
        <w:rPr>
          <w:rFonts w:hint="eastAsia"/>
          <w:lang w:val="en-US" w:eastAsia="zh-CN"/>
        </w:rPr>
        <w:t>3</w:t>
      </w:r>
      <w:r>
        <w:rPr>
          <w:rFonts w:hint="eastAsia"/>
        </w:rPr>
        <w:t>分，得分率1</w:t>
      </w:r>
      <w:r>
        <w:t>00</w:t>
      </w:r>
      <w:r>
        <w:rPr>
          <w:rFonts w:hint="eastAsia"/>
        </w:rPr>
        <w:t>%。</w:t>
      </w:r>
    </w:p>
    <w:p>
      <w:pPr>
        <w:ind w:firstLine="562"/>
        <w:rPr>
          <w:b/>
          <w:bCs/>
          <w:szCs w:val="28"/>
        </w:rPr>
      </w:pPr>
      <w:r>
        <w:rPr>
          <w:rFonts w:hint="eastAsia"/>
          <w:b/>
          <w:bCs/>
          <w:szCs w:val="28"/>
        </w:rPr>
        <w:t>组织调研督导有效率：</w:t>
      </w:r>
      <w:r>
        <w:rPr>
          <w:rFonts w:hint="eastAsia"/>
          <w:szCs w:val="28"/>
          <w:lang w:val="en-US" w:eastAsia="zh-CN"/>
        </w:rPr>
        <w:t>开展作为“黄河之肾”甘南生态环境保护调研，回顾总结湿地面积锐减、水源涵养能力降低、天然草原退化、土地沙化严重等老大难问题纠而复生的原因，提出“在甘南启动建设青藏高原绿色现代化先行示范区”的标本兼治之策，得到省委主要领导批示，省改革办召开会议专题研究落实意见。将推动高层次人才队伍建设和加快种业科技创新作为重点课题，组织专家学者深入实地开展调查研究，形成相关报告及建议。</w:t>
      </w:r>
      <w:r>
        <w:rPr>
          <w:rFonts w:hint="eastAsia"/>
          <w:szCs w:val="28"/>
        </w:rPr>
        <w:t>指标权重</w:t>
      </w:r>
      <w:r>
        <w:rPr>
          <w:rFonts w:hint="eastAsia"/>
          <w:szCs w:val="28"/>
          <w:lang w:val="en-US" w:eastAsia="zh-CN"/>
        </w:rPr>
        <w:t>3</w:t>
      </w:r>
      <w:r>
        <w:rPr>
          <w:rFonts w:hint="eastAsia"/>
          <w:szCs w:val="28"/>
        </w:rPr>
        <w:t>分，自评得分</w:t>
      </w:r>
      <w:r>
        <w:rPr>
          <w:rFonts w:hint="eastAsia"/>
          <w:szCs w:val="28"/>
          <w:lang w:val="en-US" w:eastAsia="zh-CN"/>
        </w:rPr>
        <w:t>3</w:t>
      </w:r>
      <w:r>
        <w:rPr>
          <w:rFonts w:hint="eastAsia"/>
          <w:szCs w:val="28"/>
        </w:rPr>
        <w:t>分，得分率1</w:t>
      </w:r>
      <w:r>
        <w:rPr>
          <w:szCs w:val="28"/>
        </w:rPr>
        <w:t>00</w:t>
      </w:r>
      <w:r>
        <w:rPr>
          <w:rFonts w:hint="eastAsia"/>
          <w:szCs w:val="28"/>
        </w:rPr>
        <w:t>%。</w:t>
      </w:r>
    </w:p>
    <w:p>
      <w:pPr>
        <w:ind w:firstLine="562"/>
        <w:rPr>
          <w:rFonts w:hAnsi="宋体"/>
          <w:b/>
          <w:bCs/>
          <w:szCs w:val="28"/>
        </w:rPr>
      </w:pPr>
      <w:r>
        <w:rPr>
          <w:rFonts w:hint="eastAsia" w:hAnsi="宋体"/>
          <w:b/>
          <w:bCs/>
          <w:szCs w:val="28"/>
        </w:rPr>
        <w:t>③时效指标</w:t>
      </w:r>
    </w:p>
    <w:p>
      <w:pPr>
        <w:ind w:firstLine="560"/>
        <w:rPr>
          <w:rFonts w:hAnsi="宋体"/>
          <w:szCs w:val="28"/>
        </w:rPr>
      </w:pPr>
      <w:r>
        <w:rPr>
          <w:rFonts w:hint="eastAsia"/>
        </w:rPr>
        <w:t>产出时效指标下设</w:t>
      </w:r>
      <w:r>
        <w:rPr>
          <w:rFonts w:hint="eastAsia"/>
          <w:lang w:val="en-US" w:eastAsia="zh-CN"/>
        </w:rPr>
        <w:t>5</w:t>
      </w:r>
      <w:r>
        <w:rPr>
          <w:rFonts w:hint="eastAsia"/>
        </w:rPr>
        <w:t>个三级指标，</w:t>
      </w:r>
      <w:r>
        <w:rPr>
          <w:rFonts w:hint="eastAsia" w:hAnsi="宋体"/>
          <w:szCs w:val="28"/>
        </w:rPr>
        <w:t>指标权重合计</w:t>
      </w:r>
      <w:r>
        <w:rPr>
          <w:rFonts w:hint="eastAsia" w:hAnsi="宋体"/>
          <w:szCs w:val="28"/>
          <w:lang w:val="en-US" w:eastAsia="zh-CN"/>
        </w:rPr>
        <w:t>15</w:t>
      </w:r>
      <w:r>
        <w:rPr>
          <w:rFonts w:hint="eastAsia" w:hAnsi="宋体"/>
          <w:szCs w:val="28"/>
        </w:rPr>
        <w:t>分，自评得分</w:t>
      </w:r>
      <w:r>
        <w:rPr>
          <w:rFonts w:hint="eastAsia" w:hAnsi="宋体"/>
          <w:szCs w:val="28"/>
          <w:lang w:val="en-US" w:eastAsia="zh-CN"/>
        </w:rPr>
        <w:t>15</w:t>
      </w:r>
      <w:r>
        <w:rPr>
          <w:rFonts w:hint="eastAsia" w:hAnsi="宋体"/>
          <w:szCs w:val="28"/>
        </w:rPr>
        <w:t>分，得分率为</w:t>
      </w:r>
      <w:r>
        <w:rPr>
          <w:rFonts w:hAnsi="宋体"/>
          <w:szCs w:val="28"/>
        </w:rPr>
        <w:t>100</w:t>
      </w:r>
      <w:r>
        <w:rPr>
          <w:rFonts w:hint="eastAsia" w:hAnsi="宋体"/>
          <w:szCs w:val="28"/>
        </w:rPr>
        <w:t>%。</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7"/>
        <w:gridCol w:w="1559"/>
        <w:gridCol w:w="1559"/>
        <w:gridCol w:w="851"/>
        <w:gridCol w:w="842"/>
        <w:gridCol w:w="1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547"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4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0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7"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材料印刷及时性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及时</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3</w:t>
            </w:r>
          </w:p>
        </w:tc>
        <w:tc>
          <w:tcPr>
            <w:tcW w:w="84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3</w:t>
            </w:r>
          </w:p>
        </w:tc>
        <w:tc>
          <w:tcPr>
            <w:tcW w:w="10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7"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网站维护及时性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及时</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3</w:t>
            </w:r>
          </w:p>
        </w:tc>
        <w:tc>
          <w:tcPr>
            <w:tcW w:w="84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eastAsia="仿宋_GB2312"/>
                <w:sz w:val="24"/>
                <w:szCs w:val="24"/>
                <w:lang w:val="en-US" w:eastAsia="zh-CN"/>
              </w:rPr>
              <w:t>3</w:t>
            </w:r>
          </w:p>
        </w:tc>
        <w:tc>
          <w:tcPr>
            <w:tcW w:w="10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7"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召开会议及时性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及时</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3</w:t>
            </w:r>
          </w:p>
        </w:tc>
        <w:tc>
          <w:tcPr>
            <w:tcW w:w="84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eastAsia="仿宋_GB2312"/>
                <w:sz w:val="24"/>
                <w:szCs w:val="24"/>
                <w:lang w:val="en-US" w:eastAsia="zh-CN"/>
              </w:rPr>
              <w:t>3</w:t>
            </w:r>
          </w:p>
        </w:tc>
        <w:tc>
          <w:tcPr>
            <w:tcW w:w="10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7"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组织调研及时性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及时</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3</w:t>
            </w:r>
          </w:p>
        </w:tc>
        <w:tc>
          <w:tcPr>
            <w:tcW w:w="84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eastAsia="仿宋_GB2312"/>
                <w:sz w:val="24"/>
                <w:szCs w:val="24"/>
                <w:lang w:val="en-US" w:eastAsia="zh-CN"/>
              </w:rPr>
              <w:t>3</w:t>
            </w:r>
          </w:p>
        </w:tc>
        <w:tc>
          <w:tcPr>
            <w:tcW w:w="10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7"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组织培训及时性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及时</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3</w:t>
            </w:r>
          </w:p>
        </w:tc>
        <w:tc>
          <w:tcPr>
            <w:tcW w:w="84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eastAsia="仿宋_GB2312"/>
                <w:sz w:val="24"/>
                <w:szCs w:val="24"/>
                <w:lang w:val="en-US" w:eastAsia="zh-CN"/>
              </w:rPr>
              <w:t>3</w:t>
            </w:r>
          </w:p>
        </w:tc>
        <w:tc>
          <w:tcPr>
            <w:tcW w:w="10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5"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b/>
                <w:bCs/>
                <w:color w:val="000000"/>
                <w:kern w:val="0"/>
                <w:sz w:val="24"/>
                <w:szCs w:val="24"/>
                <w:lang w:val="en-US" w:eastAsia="zh-CN"/>
              </w:rPr>
            </w:pPr>
            <w:r>
              <w:rPr>
                <w:rFonts w:hint="eastAsia" w:ascii="仿宋_GB2312" w:hAnsi="宋体" w:eastAsia="仿宋_GB2312" w:cs="宋体"/>
                <w:b/>
                <w:bCs/>
                <w:color w:val="000000"/>
                <w:kern w:val="0"/>
                <w:sz w:val="24"/>
                <w:szCs w:val="24"/>
                <w:lang w:val="en-US" w:eastAsia="zh-CN"/>
              </w:rPr>
              <w:t>15</w:t>
            </w:r>
          </w:p>
        </w:tc>
        <w:tc>
          <w:tcPr>
            <w:tcW w:w="84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b/>
                <w:bCs/>
                <w:sz w:val="24"/>
                <w:szCs w:val="24"/>
                <w:lang w:val="en-US" w:eastAsia="zh-CN"/>
              </w:rPr>
            </w:pPr>
            <w:r>
              <w:rPr>
                <w:rFonts w:hint="eastAsia" w:ascii="仿宋_GB2312" w:eastAsia="仿宋_GB2312"/>
                <w:b/>
                <w:bCs/>
                <w:sz w:val="24"/>
                <w:szCs w:val="24"/>
                <w:lang w:val="en-US" w:eastAsia="zh-CN"/>
              </w:rPr>
              <w:t>15</w:t>
            </w:r>
          </w:p>
        </w:tc>
        <w:tc>
          <w:tcPr>
            <w:tcW w:w="100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rPr>
          <w:rFonts w:hAnsi="宋体"/>
          <w:b/>
          <w:bCs/>
          <w:szCs w:val="28"/>
        </w:rPr>
      </w:pPr>
      <w:r>
        <w:rPr>
          <w:rFonts w:hint="eastAsia" w:hAnsi="宋体"/>
          <w:b/>
          <w:bCs/>
          <w:szCs w:val="28"/>
        </w:rPr>
        <w:t>材料印刷及时性：</w:t>
      </w:r>
      <w:r>
        <w:rPr>
          <w:rFonts w:hint="eastAsia" w:hAnsi="宋体"/>
          <w:szCs w:val="28"/>
        </w:rPr>
        <w:t>《甘肃盟讯》及其他文件资料均能按时印刷出版，</w:t>
      </w:r>
      <w:r>
        <w:rPr>
          <w:rFonts w:hint="eastAsia" w:hAnsi="仿宋"/>
          <w:szCs w:val="32"/>
        </w:rPr>
        <w:t>指标权重</w:t>
      </w:r>
      <w:r>
        <w:rPr>
          <w:rFonts w:hint="eastAsia" w:hAnsi="仿宋"/>
          <w:szCs w:val="32"/>
          <w:lang w:val="en-US" w:eastAsia="zh-CN"/>
        </w:rPr>
        <w:t>3</w:t>
      </w:r>
      <w:r>
        <w:rPr>
          <w:rFonts w:hint="eastAsia" w:hAnsi="仿宋"/>
          <w:szCs w:val="32"/>
        </w:rPr>
        <w:t>分，自评得分</w:t>
      </w:r>
      <w:r>
        <w:rPr>
          <w:rFonts w:hint="eastAsia" w:hAnsi="仿宋"/>
          <w:szCs w:val="32"/>
          <w:lang w:val="en-US" w:eastAsia="zh-CN"/>
        </w:rPr>
        <w:t>3</w:t>
      </w:r>
      <w:r>
        <w:rPr>
          <w:rFonts w:hint="eastAsia" w:hAnsi="仿宋"/>
          <w:szCs w:val="32"/>
        </w:rPr>
        <w:t>分，得分率1</w:t>
      </w:r>
      <w:r>
        <w:rPr>
          <w:rFonts w:hAnsi="仿宋"/>
          <w:szCs w:val="32"/>
        </w:rPr>
        <w:t>00</w:t>
      </w:r>
      <w:r>
        <w:rPr>
          <w:rFonts w:hint="eastAsia" w:hAnsi="仿宋"/>
          <w:szCs w:val="32"/>
        </w:rPr>
        <w:t>%。</w:t>
      </w:r>
    </w:p>
    <w:p>
      <w:pPr>
        <w:ind w:firstLine="562"/>
        <w:rPr>
          <w:rFonts w:hAnsi="宋体"/>
          <w:b/>
          <w:bCs/>
          <w:szCs w:val="28"/>
        </w:rPr>
      </w:pPr>
      <w:r>
        <w:rPr>
          <w:rFonts w:hint="eastAsia" w:hAnsi="宋体"/>
          <w:b/>
          <w:bCs/>
          <w:szCs w:val="28"/>
        </w:rPr>
        <w:t>网站维护及时性：</w:t>
      </w:r>
      <w:r>
        <w:rPr>
          <w:rFonts w:hint="eastAsia"/>
        </w:rPr>
        <w:t>我</w:t>
      </w:r>
      <w:r>
        <w:rPr>
          <w:rFonts w:hint="eastAsia"/>
          <w:lang w:eastAsia="zh-CN"/>
        </w:rPr>
        <w:t>单位</w:t>
      </w:r>
      <w:r>
        <w:rPr>
          <w:rFonts w:hint="eastAsia"/>
        </w:rPr>
        <w:t>对2个网站定期开展运行维护，对于发生的问题能够及时处理。指标权重</w:t>
      </w:r>
      <w:r>
        <w:rPr>
          <w:rFonts w:hint="eastAsia" w:hAnsi="仿宋"/>
          <w:szCs w:val="32"/>
          <w:lang w:val="en-US" w:eastAsia="zh-CN"/>
        </w:rPr>
        <w:t>3</w:t>
      </w:r>
      <w:r>
        <w:rPr>
          <w:rFonts w:hint="eastAsia" w:hAnsi="仿宋"/>
          <w:szCs w:val="32"/>
        </w:rPr>
        <w:t>分，自评得分</w:t>
      </w:r>
      <w:r>
        <w:rPr>
          <w:rFonts w:hint="eastAsia" w:hAnsi="仿宋"/>
          <w:szCs w:val="32"/>
          <w:lang w:val="en-US" w:eastAsia="zh-CN"/>
        </w:rPr>
        <w:t>3</w:t>
      </w:r>
      <w:r>
        <w:rPr>
          <w:rFonts w:hint="eastAsia" w:hAnsi="仿宋"/>
          <w:szCs w:val="32"/>
        </w:rPr>
        <w:t>分，得分率1</w:t>
      </w:r>
      <w:r>
        <w:rPr>
          <w:rFonts w:hAnsi="仿宋"/>
          <w:szCs w:val="32"/>
        </w:rPr>
        <w:t>00</w:t>
      </w:r>
      <w:r>
        <w:rPr>
          <w:rFonts w:hint="eastAsia" w:hAnsi="仿宋"/>
          <w:szCs w:val="32"/>
        </w:rPr>
        <w:t>%。</w:t>
      </w:r>
    </w:p>
    <w:p>
      <w:pPr>
        <w:ind w:firstLine="562"/>
        <w:rPr>
          <w:rFonts w:hAnsi="宋体"/>
          <w:b/>
          <w:bCs/>
          <w:szCs w:val="28"/>
        </w:rPr>
      </w:pPr>
      <w:r>
        <w:rPr>
          <w:rFonts w:hint="eastAsia" w:hAnsi="宋体"/>
          <w:b/>
          <w:bCs/>
          <w:szCs w:val="28"/>
        </w:rPr>
        <w:t>召开会议及时性：</w:t>
      </w:r>
      <w:r>
        <w:rPr>
          <w:rFonts w:hint="eastAsia" w:hAnsi="宋体"/>
          <w:szCs w:val="28"/>
        </w:rPr>
        <w:t>我单位在年初召开了</w:t>
      </w:r>
      <w:r>
        <w:rPr>
          <w:rFonts w:hint="eastAsia" w:hAnsi="宋体"/>
          <w:szCs w:val="28"/>
          <w:lang w:val="en-US" w:eastAsia="zh-CN"/>
        </w:rPr>
        <w:t>5</w:t>
      </w:r>
      <w:r>
        <w:rPr>
          <w:rFonts w:hint="eastAsia" w:hAnsi="宋体"/>
          <w:szCs w:val="28"/>
        </w:rPr>
        <w:t>次专委会议，为后续调研活动的开展及时作出了指示安排。</w:t>
      </w:r>
      <w:r>
        <w:rPr>
          <w:rFonts w:hint="eastAsia" w:hAnsi="仿宋"/>
          <w:szCs w:val="32"/>
        </w:rPr>
        <w:t>指标权重</w:t>
      </w:r>
      <w:r>
        <w:rPr>
          <w:rFonts w:hint="eastAsia" w:hAnsi="仿宋"/>
          <w:szCs w:val="32"/>
          <w:lang w:val="en-US" w:eastAsia="zh-CN"/>
        </w:rPr>
        <w:t>3</w:t>
      </w:r>
      <w:r>
        <w:rPr>
          <w:rFonts w:hint="eastAsia" w:hAnsi="仿宋"/>
          <w:szCs w:val="32"/>
        </w:rPr>
        <w:t>分，自评得分</w:t>
      </w:r>
      <w:r>
        <w:rPr>
          <w:rFonts w:hint="eastAsia" w:hAnsi="仿宋"/>
          <w:szCs w:val="32"/>
          <w:lang w:val="en-US" w:eastAsia="zh-CN"/>
        </w:rPr>
        <w:t>3</w:t>
      </w:r>
      <w:r>
        <w:rPr>
          <w:rFonts w:hint="eastAsia" w:hAnsi="仿宋"/>
          <w:szCs w:val="32"/>
        </w:rPr>
        <w:t>分，得分率1</w:t>
      </w:r>
      <w:r>
        <w:rPr>
          <w:rFonts w:hAnsi="仿宋"/>
          <w:szCs w:val="32"/>
        </w:rPr>
        <w:t>00</w:t>
      </w:r>
      <w:r>
        <w:rPr>
          <w:rFonts w:hint="eastAsia" w:hAnsi="仿宋"/>
          <w:szCs w:val="32"/>
        </w:rPr>
        <w:t>%。</w:t>
      </w:r>
    </w:p>
    <w:p>
      <w:pPr>
        <w:ind w:firstLine="562"/>
      </w:pPr>
      <w:r>
        <w:rPr>
          <w:rFonts w:hint="eastAsia" w:hAnsi="宋体"/>
          <w:b/>
          <w:bCs/>
          <w:szCs w:val="28"/>
        </w:rPr>
        <w:t>组织调研及时性：</w:t>
      </w:r>
      <w:r>
        <w:rPr>
          <w:rFonts w:hint="eastAsia"/>
        </w:rPr>
        <w:t>我们根据行业、专业优势，成立了每项课题由一位副主委任组长、骨干盟员为成员，以及邀请相关科研院所专家参与的调研组，同时安排市级委员会和专委会共同参与调研，形成上下联动、内外互动的调研机制，确保了各项调研任务扎实推进、圆满完成</w:t>
      </w:r>
      <w:r>
        <w:rPr>
          <w:rFonts w:hint="eastAsia" w:hAnsi="仿宋"/>
          <w:szCs w:val="32"/>
        </w:rPr>
        <w:t>。指标权重</w:t>
      </w:r>
      <w:r>
        <w:rPr>
          <w:rFonts w:hint="eastAsia" w:hAnsi="仿宋"/>
          <w:szCs w:val="32"/>
          <w:lang w:val="en-US" w:eastAsia="zh-CN"/>
        </w:rPr>
        <w:t>3</w:t>
      </w:r>
      <w:r>
        <w:rPr>
          <w:rFonts w:hint="eastAsia" w:hAnsi="仿宋"/>
          <w:szCs w:val="32"/>
        </w:rPr>
        <w:t>分，自评得分</w:t>
      </w:r>
      <w:r>
        <w:rPr>
          <w:rFonts w:hint="eastAsia" w:hAnsi="仿宋"/>
          <w:szCs w:val="32"/>
          <w:lang w:val="en-US" w:eastAsia="zh-CN"/>
        </w:rPr>
        <w:t>3</w:t>
      </w:r>
      <w:r>
        <w:rPr>
          <w:rFonts w:hint="eastAsia" w:hAnsi="仿宋"/>
          <w:szCs w:val="32"/>
        </w:rPr>
        <w:t>分，得分率1</w:t>
      </w:r>
      <w:r>
        <w:rPr>
          <w:rFonts w:hAnsi="仿宋"/>
          <w:szCs w:val="32"/>
        </w:rPr>
        <w:t>00</w:t>
      </w:r>
      <w:r>
        <w:rPr>
          <w:rFonts w:hint="eastAsia" w:hAnsi="仿宋"/>
          <w:szCs w:val="32"/>
        </w:rPr>
        <w:t>%。</w:t>
      </w:r>
    </w:p>
    <w:p>
      <w:pPr>
        <w:ind w:firstLine="562"/>
        <w:rPr>
          <w:rFonts w:hAnsi="宋体"/>
          <w:b/>
          <w:bCs/>
          <w:szCs w:val="28"/>
        </w:rPr>
      </w:pPr>
      <w:r>
        <w:rPr>
          <w:rFonts w:hint="eastAsia" w:hAnsi="宋体"/>
          <w:b/>
          <w:bCs/>
          <w:szCs w:val="28"/>
        </w:rPr>
        <w:t>组织培训及时性：</w:t>
      </w:r>
      <w:r>
        <w:rPr>
          <w:rFonts w:hint="eastAsia"/>
        </w:rPr>
        <w:t>我</w:t>
      </w:r>
      <w:r>
        <w:rPr>
          <w:rFonts w:hint="eastAsia"/>
          <w:lang w:eastAsia="zh-CN"/>
        </w:rPr>
        <w:t>单位</w:t>
      </w:r>
      <w:r>
        <w:rPr>
          <w:rFonts w:hint="eastAsia"/>
        </w:rPr>
        <w:t>如期完成了各类培训工作，指标权重</w:t>
      </w:r>
      <w:r>
        <w:rPr>
          <w:rFonts w:hint="eastAsia" w:hAnsi="仿宋"/>
          <w:szCs w:val="32"/>
          <w:lang w:val="en-US" w:eastAsia="zh-CN"/>
        </w:rPr>
        <w:t>3</w:t>
      </w:r>
      <w:r>
        <w:t>分，自评得分</w:t>
      </w:r>
      <w:r>
        <w:rPr>
          <w:rFonts w:hint="eastAsia" w:hAnsi="仿宋"/>
          <w:szCs w:val="32"/>
          <w:lang w:val="en-US" w:eastAsia="zh-CN"/>
        </w:rPr>
        <w:t>3</w:t>
      </w:r>
      <w:r>
        <w:t>分，得分率</w:t>
      </w:r>
      <w:r>
        <w:rPr>
          <w:rFonts w:hint="eastAsia"/>
        </w:rPr>
        <w:t>1</w:t>
      </w:r>
      <w:r>
        <w:t>00%。</w:t>
      </w:r>
    </w:p>
    <w:p>
      <w:pPr>
        <w:ind w:firstLine="562"/>
        <w:rPr>
          <w:b/>
          <w:bCs/>
          <w:szCs w:val="28"/>
        </w:rPr>
      </w:pPr>
      <w:r>
        <w:rPr>
          <w:rFonts w:hint="eastAsia"/>
          <w:b/>
          <w:bCs/>
          <w:szCs w:val="28"/>
        </w:rPr>
        <w:t>（2）效益指标</w:t>
      </w:r>
    </w:p>
    <w:p>
      <w:pPr>
        <w:ind w:firstLine="560"/>
        <w:rPr>
          <w:szCs w:val="28"/>
        </w:rPr>
      </w:pPr>
      <w:r>
        <w:rPr>
          <w:rFonts w:hint="eastAsia"/>
          <w:szCs w:val="28"/>
        </w:rPr>
        <w:t>本项目设置效益指标时主要考虑了社会效益和可持续影响两部分。总分值30分，得分</w:t>
      </w:r>
      <w:r>
        <w:rPr>
          <w:rFonts w:hint="eastAsia"/>
          <w:szCs w:val="28"/>
          <w:lang w:val="en-US" w:eastAsia="zh-CN"/>
        </w:rPr>
        <w:t>30</w:t>
      </w:r>
      <w:r>
        <w:rPr>
          <w:rFonts w:hint="eastAsia"/>
          <w:szCs w:val="28"/>
        </w:rPr>
        <w:t>分，得分率</w:t>
      </w:r>
      <w:r>
        <w:rPr>
          <w:rFonts w:hint="eastAsia"/>
          <w:szCs w:val="28"/>
          <w:lang w:val="en-US" w:eastAsia="zh-CN"/>
        </w:rPr>
        <w:t>100</w:t>
      </w:r>
      <w:r>
        <w:rPr>
          <w:rFonts w:hint="eastAsia"/>
          <w:szCs w:val="28"/>
        </w:rPr>
        <w:t>%。</w:t>
      </w:r>
    </w:p>
    <w:p>
      <w:pPr>
        <w:ind w:firstLine="562"/>
        <w:rPr>
          <w:b/>
          <w:bCs/>
          <w:szCs w:val="28"/>
        </w:rPr>
      </w:pPr>
      <w:r>
        <w:rPr>
          <w:rFonts w:hint="eastAsia"/>
          <w:b/>
          <w:bCs/>
          <w:szCs w:val="28"/>
        </w:rPr>
        <w:t>①社会效益：</w:t>
      </w:r>
    </w:p>
    <w:p>
      <w:pPr>
        <w:ind w:firstLine="560"/>
        <w:rPr>
          <w:rFonts w:hAnsi="宋体"/>
          <w:szCs w:val="28"/>
        </w:rPr>
      </w:pPr>
      <w:r>
        <w:rPr>
          <w:rFonts w:hint="eastAsia"/>
        </w:rPr>
        <w:t>社会效益指标下设</w:t>
      </w:r>
      <w:r>
        <w:t>2</w:t>
      </w:r>
      <w:r>
        <w:rPr>
          <w:rFonts w:hint="eastAsia"/>
        </w:rPr>
        <w:t>个三级指标，</w:t>
      </w:r>
      <w:r>
        <w:rPr>
          <w:rFonts w:hint="eastAsia" w:hAnsi="宋体"/>
          <w:szCs w:val="28"/>
        </w:rPr>
        <w:t>指标权重合计</w:t>
      </w:r>
      <w:r>
        <w:rPr>
          <w:rFonts w:hint="eastAsia" w:hAnsi="宋体"/>
          <w:szCs w:val="28"/>
          <w:lang w:val="en-US" w:eastAsia="zh-CN"/>
        </w:rPr>
        <w:t>12</w:t>
      </w:r>
      <w:r>
        <w:rPr>
          <w:rFonts w:hint="eastAsia" w:hAnsi="宋体"/>
          <w:szCs w:val="28"/>
        </w:rPr>
        <w:t>分，自评得分</w:t>
      </w:r>
      <w:r>
        <w:rPr>
          <w:rFonts w:hAnsi="宋体"/>
          <w:szCs w:val="28"/>
        </w:rPr>
        <w:t>12</w:t>
      </w:r>
      <w:r>
        <w:rPr>
          <w:rFonts w:hint="eastAsia" w:hAnsi="宋体"/>
          <w:szCs w:val="28"/>
        </w:rPr>
        <w:t>分，得分率为</w:t>
      </w:r>
      <w:r>
        <w:rPr>
          <w:rFonts w:hint="eastAsia" w:hAnsi="宋体"/>
          <w:szCs w:val="28"/>
          <w:lang w:val="en-US" w:eastAsia="zh-CN"/>
        </w:rPr>
        <w:t>100</w:t>
      </w:r>
      <w:r>
        <w:rPr>
          <w:rFonts w:hint="eastAsia" w:hAnsi="宋体"/>
          <w:szCs w:val="28"/>
        </w:rPr>
        <w:t>%。</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560"/>
        <w:gridCol w:w="1559"/>
        <w:gridCol w:w="992"/>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参政议政谏言有效</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有效</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100</w:t>
            </w:r>
            <w:r>
              <w:rPr>
                <w:rFonts w:ascii="仿宋_GB2312" w:hAnsi="宋体" w:eastAsia="仿宋_GB2312" w:cs="宋体"/>
                <w:color w:val="000000"/>
                <w:kern w:val="0"/>
                <w:sz w:val="24"/>
                <w:szCs w:val="24"/>
              </w:rPr>
              <w:t>%</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75</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助力全省教育事业发展有效</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有效</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eastAsia="仿宋_GB2312"/>
                <w:sz w:val="24"/>
                <w:szCs w:val="24"/>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2"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b/>
                <w:bCs/>
                <w:color w:val="000000"/>
                <w:kern w:val="0"/>
                <w:sz w:val="24"/>
                <w:szCs w:val="24"/>
                <w:lang w:eastAsia="zh-CN"/>
              </w:rPr>
            </w:pPr>
            <w:r>
              <w:rPr>
                <w:rFonts w:hint="eastAsia" w:ascii="仿宋_GB2312" w:hAnsi="宋体" w:eastAsia="仿宋_GB2312" w:cs="宋体"/>
                <w:b/>
                <w:bCs/>
                <w:color w:val="000000"/>
                <w:kern w:val="0"/>
                <w:sz w:val="24"/>
                <w:szCs w:val="24"/>
              </w:rPr>
              <w:t>1</w:t>
            </w:r>
            <w:r>
              <w:rPr>
                <w:rFonts w:hint="eastAsia" w:ascii="仿宋_GB2312" w:hAnsi="宋体" w:eastAsia="仿宋_GB2312" w:cs="宋体"/>
                <w:b/>
                <w:bCs/>
                <w:color w:val="000000"/>
                <w:kern w:val="0"/>
                <w:sz w:val="24"/>
                <w:szCs w:val="24"/>
                <w:lang w:val="en-US" w:eastAsia="zh-CN"/>
              </w:rPr>
              <w:t>2</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1</w:t>
            </w:r>
            <w:r>
              <w:rPr>
                <w:rFonts w:ascii="仿宋_GB2312" w:eastAsia="仿宋_GB2312"/>
                <w:b/>
                <w:bCs/>
                <w:sz w:val="24"/>
                <w:szCs w:val="24"/>
              </w:rPr>
              <w:t>2</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lang w:val="en-US" w:eastAsia="zh-CN"/>
              </w:rPr>
              <w:t>100</w:t>
            </w:r>
            <w:r>
              <w:rPr>
                <w:rFonts w:hint="eastAsia" w:ascii="仿宋_GB2312" w:eastAsia="仿宋_GB2312"/>
                <w:b/>
                <w:bCs/>
                <w:sz w:val="24"/>
                <w:szCs w:val="24"/>
              </w:rPr>
              <w:t>%</w:t>
            </w:r>
          </w:p>
        </w:tc>
      </w:tr>
    </w:tbl>
    <w:p>
      <w:pPr>
        <w:numPr>
          <w:ilvl w:val="0"/>
          <w:numId w:val="0"/>
        </w:numPr>
        <w:ind w:firstLine="562" w:firstLineChars="200"/>
        <w:rPr>
          <w:rFonts w:hint="eastAsia"/>
          <w:lang w:val="en-US" w:eastAsia="zh-CN"/>
        </w:rPr>
      </w:pPr>
      <w:r>
        <w:rPr>
          <w:rFonts w:hint="eastAsia"/>
          <w:b/>
          <w:bCs/>
          <w:szCs w:val="28"/>
        </w:rPr>
        <w:t>参政议政谏言有效：</w:t>
      </w:r>
      <w:r>
        <w:rPr>
          <w:rFonts w:hint="eastAsia"/>
          <w:lang w:val="en-US" w:eastAsia="zh-CN"/>
        </w:rPr>
        <w:t>我单位积极参与民盟中央教育、民生、经济、科技和法治论坛，报送各类征文16篇，“加快兰州西部陆海新通道重点城市建设的对策建议”“激活河西走廊区域比较优势，构建一体化经济发展格局”等4篇获评优秀论文。加强自主组织论坛力度，支持专委会围绕“乡村振兴”“深化产教融合、校企合作模式改革，推动我省职业教育高质量发展”主题开展研讨交流。向民盟中央推荐提案4件，“加强全流域协同配合，推进黄河生态保护和治理”被民盟中央作为集体提案提交全国政协十三届四次会议。向政协甘肃省十二届四次会议提交大会发言2篇，报送提案22件，立案20件。其中“加快推动中医药成果转化及产业化”受到各界广泛关注。围绕“构建以国内大循环为主体、国内国际双循环相互促进的新发展格局中甘肃如何积极作为”“加快农业农村现代化、推进以人为核心的新型城镇化”专题协商议政会，提交了“加快我省文化遗产（遗迹）资源保护开发的建议”“找准着力点，交好脱贫攻坚与乡村振兴的接力棒”等4篇建议。</w:t>
      </w:r>
      <w:r>
        <w:rPr>
          <w:rFonts w:hint="eastAsia"/>
        </w:rPr>
        <w:t>指标权重</w:t>
      </w:r>
      <w:r>
        <w:rPr>
          <w:rFonts w:hint="eastAsia"/>
          <w:lang w:val="en-US" w:eastAsia="zh-CN"/>
        </w:rPr>
        <w:t>6</w:t>
      </w:r>
      <w:r>
        <w:rPr>
          <w:rFonts w:hint="eastAsia"/>
        </w:rPr>
        <w:t>分，自评得分</w:t>
      </w:r>
      <w:r>
        <w:rPr>
          <w:rFonts w:hint="eastAsia"/>
          <w:lang w:val="en-US" w:eastAsia="zh-CN"/>
        </w:rPr>
        <w:t>6</w:t>
      </w:r>
      <w:r>
        <w:rPr>
          <w:rFonts w:hint="eastAsia"/>
        </w:rPr>
        <w:t>分，得分率</w:t>
      </w:r>
      <w:r>
        <w:rPr>
          <w:rFonts w:hint="eastAsia"/>
          <w:lang w:val="en-US" w:eastAsia="zh-CN"/>
        </w:rPr>
        <w:t>100</w:t>
      </w:r>
      <w:r>
        <w:rPr>
          <w:rFonts w:hint="eastAsia"/>
        </w:rPr>
        <w:t>%。</w:t>
      </w:r>
    </w:p>
    <w:p>
      <w:pPr>
        <w:numPr>
          <w:ilvl w:val="0"/>
          <w:numId w:val="0"/>
        </w:numPr>
        <w:ind w:firstLine="562" w:firstLineChars="200"/>
        <w:rPr>
          <w:color w:val="242424"/>
          <w:shd w:val="clear" w:color="auto" w:fill="FFFFFF"/>
        </w:rPr>
      </w:pPr>
      <w:r>
        <w:rPr>
          <w:rFonts w:hint="eastAsia"/>
          <w:b/>
          <w:bCs/>
          <w:color w:val="242424"/>
          <w:shd w:val="clear" w:color="auto" w:fill="FFFFFF"/>
        </w:rPr>
        <w:t>助力全省教育事业发展有效：</w:t>
      </w:r>
      <w:r>
        <w:rPr>
          <w:rFonts w:hint="eastAsia"/>
          <w:lang w:val="en-US" w:eastAsia="zh-CN"/>
        </w:rPr>
        <w:t>我单位为落实东西部协作帮扶计划，促成天津市第二十五中与庆阳陈户初级中学签订“同心助学”教育帮扶协议，为贫困学生捐款1.7万元。协调民盟天津市委为环县中小学捐赠20万元的教学设备、1600余册图书。协调民盟江苏省委向天祝尖山民盟烛光小学捐赠7.5万元的教学物资。</w:t>
      </w:r>
      <w:r>
        <w:rPr>
          <w:rFonts w:hint="eastAsia"/>
          <w:color w:val="242424"/>
          <w:shd w:val="clear" w:color="auto" w:fill="FFFFFF"/>
        </w:rPr>
        <w:t>为全省教育事业发展助力。指标权重6分，自评得分6分，得分率1</w:t>
      </w:r>
      <w:r>
        <w:rPr>
          <w:color w:val="242424"/>
          <w:shd w:val="clear" w:color="auto" w:fill="FFFFFF"/>
        </w:rPr>
        <w:t>00</w:t>
      </w:r>
      <w:r>
        <w:rPr>
          <w:rFonts w:hint="eastAsia"/>
          <w:color w:val="242424"/>
          <w:shd w:val="clear" w:color="auto" w:fill="FFFFFF"/>
        </w:rPr>
        <w:t>%。</w:t>
      </w:r>
    </w:p>
    <w:p>
      <w:pPr>
        <w:ind w:firstLine="562"/>
        <w:rPr>
          <w:b/>
          <w:bCs/>
          <w:szCs w:val="28"/>
        </w:rPr>
      </w:pPr>
      <w:r>
        <w:rPr>
          <w:rFonts w:hint="eastAsia"/>
          <w:b/>
          <w:bCs/>
          <w:szCs w:val="28"/>
        </w:rPr>
        <w:t>②可持续影响：</w:t>
      </w:r>
    </w:p>
    <w:p>
      <w:pPr>
        <w:ind w:firstLine="560"/>
        <w:rPr>
          <w:rFonts w:hAnsi="宋体"/>
          <w:szCs w:val="28"/>
        </w:rPr>
      </w:pPr>
      <w:r>
        <w:rPr>
          <w:rFonts w:hint="eastAsia"/>
        </w:rPr>
        <w:t>可持续性影响指标下设</w:t>
      </w:r>
      <w:r>
        <w:t>3</w:t>
      </w:r>
      <w:r>
        <w:rPr>
          <w:rFonts w:hint="eastAsia"/>
        </w:rPr>
        <w:t>个三级指标，</w:t>
      </w:r>
      <w:r>
        <w:rPr>
          <w:rFonts w:hint="eastAsia" w:hAnsi="宋体"/>
          <w:szCs w:val="28"/>
        </w:rPr>
        <w:t>指标权重合计</w:t>
      </w:r>
      <w:r>
        <w:rPr>
          <w:rFonts w:hAnsi="宋体"/>
          <w:szCs w:val="28"/>
        </w:rPr>
        <w:t>1</w:t>
      </w:r>
      <w:r>
        <w:rPr>
          <w:rFonts w:hint="eastAsia" w:hAnsi="宋体"/>
          <w:szCs w:val="28"/>
          <w:lang w:val="en-US" w:eastAsia="zh-CN"/>
        </w:rPr>
        <w:t>8</w:t>
      </w:r>
      <w:r>
        <w:rPr>
          <w:rFonts w:hint="eastAsia" w:hAnsi="宋体"/>
          <w:szCs w:val="28"/>
        </w:rPr>
        <w:t>分，自评得分</w:t>
      </w:r>
      <w:r>
        <w:rPr>
          <w:rFonts w:hAnsi="宋体"/>
          <w:szCs w:val="28"/>
        </w:rPr>
        <w:t>1</w:t>
      </w:r>
      <w:r>
        <w:rPr>
          <w:rFonts w:hint="eastAsia" w:hAnsi="宋体"/>
          <w:szCs w:val="28"/>
          <w:lang w:val="en-US" w:eastAsia="zh-CN"/>
        </w:rPr>
        <w:t>8</w:t>
      </w:r>
      <w:r>
        <w:rPr>
          <w:rFonts w:hint="eastAsia" w:hAnsi="宋体"/>
          <w:szCs w:val="28"/>
        </w:rPr>
        <w:t>分，得分率为</w:t>
      </w:r>
      <w:r>
        <w:rPr>
          <w:rFonts w:hAnsi="宋体"/>
          <w:szCs w:val="28"/>
        </w:rPr>
        <w:t>100</w:t>
      </w:r>
      <w:r>
        <w:rPr>
          <w:rFonts w:hint="eastAsia" w:hAnsi="宋体"/>
          <w:szCs w:val="28"/>
        </w:rPr>
        <w:t>%。</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560"/>
        <w:gridCol w:w="1559"/>
        <w:gridCol w:w="992"/>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长效管理机制</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健全</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eastAsia="仿宋_GB2312"/>
                <w:sz w:val="24"/>
                <w:szCs w:val="24"/>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档案管理机制</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完善</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信息公开机制</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完善</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2"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99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hAnsi="宋体" w:eastAsia="仿宋_GB2312" w:cs="宋体"/>
                <w:b/>
                <w:bCs/>
                <w:color w:val="000000"/>
                <w:kern w:val="0"/>
                <w:sz w:val="24"/>
                <w:szCs w:val="24"/>
                <w:lang w:val="en-US" w:eastAsia="zh-CN"/>
              </w:rPr>
            </w:pPr>
            <w:r>
              <w:rPr>
                <w:rFonts w:hint="eastAsia" w:ascii="仿宋_GB2312" w:hAnsi="宋体" w:eastAsia="仿宋_GB2312" w:cs="宋体"/>
                <w:b/>
                <w:bCs/>
                <w:color w:val="000000"/>
                <w:kern w:val="0"/>
                <w:sz w:val="24"/>
                <w:szCs w:val="24"/>
                <w:lang w:val="en-US" w:eastAsia="zh-CN"/>
              </w:rPr>
              <w:t>18</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default" w:ascii="仿宋_GB2312" w:eastAsia="仿宋_GB2312"/>
                <w:b/>
                <w:bCs/>
                <w:sz w:val="24"/>
                <w:szCs w:val="24"/>
                <w:lang w:val="en-US" w:eastAsia="zh-CN"/>
              </w:rPr>
            </w:pPr>
            <w:r>
              <w:rPr>
                <w:rFonts w:hint="eastAsia" w:ascii="仿宋_GB2312" w:eastAsia="仿宋_GB2312"/>
                <w:b/>
                <w:bCs/>
                <w:sz w:val="24"/>
                <w:szCs w:val="24"/>
                <w:lang w:val="en-US" w:eastAsia="zh-CN"/>
              </w:rPr>
              <w:t>18</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pPr>
      <w:r>
        <w:rPr>
          <w:rFonts w:hint="eastAsia"/>
          <w:b/>
          <w:bCs/>
          <w:szCs w:val="28"/>
        </w:rPr>
        <w:t>长效管理机制：</w:t>
      </w:r>
      <w:r>
        <w:rPr>
          <w:rFonts w:hint="eastAsia"/>
        </w:rPr>
        <w:t>我单位对全省</w:t>
      </w:r>
      <w:r>
        <w:t>12个市级组织盟员情况进行全面摸底，</w:t>
      </w:r>
      <w:r>
        <w:rPr>
          <w:rFonts w:hint="eastAsia"/>
        </w:rPr>
        <w:t>构建动态管理人才库，为做好政治交接、人才接替做好前期准备，长效管理机制进一步健全。指标权重6分，自评得分6分，得分率1</w:t>
      </w:r>
      <w:r>
        <w:t>00</w:t>
      </w:r>
      <w:r>
        <w:rPr>
          <w:rFonts w:hint="eastAsia"/>
        </w:rPr>
        <w:t>%。</w:t>
      </w:r>
    </w:p>
    <w:p>
      <w:pPr>
        <w:ind w:firstLine="562"/>
      </w:pPr>
      <w:r>
        <w:rPr>
          <w:rFonts w:hint="eastAsia" w:hAnsi="宋体"/>
          <w:b/>
          <w:bCs/>
          <w:szCs w:val="28"/>
        </w:rPr>
        <w:t>档案管理机制：</w:t>
      </w:r>
      <w:r>
        <w:rPr>
          <w:rFonts w:hint="eastAsia"/>
        </w:rPr>
        <w:t>我单位对调研成果、参政议政以及其他工作文件资料均留档保存，指定专人进行管理，档案管理机制进一步完善。指标权重</w:t>
      </w:r>
      <w:r>
        <w:rPr>
          <w:rFonts w:hint="eastAsia"/>
          <w:lang w:val="en-US" w:eastAsia="zh-CN"/>
        </w:rPr>
        <w:t>6</w:t>
      </w:r>
      <w:r>
        <w:rPr>
          <w:rFonts w:hint="eastAsia"/>
        </w:rPr>
        <w:t>分，自评得分</w:t>
      </w:r>
      <w:r>
        <w:rPr>
          <w:rFonts w:hint="eastAsia"/>
          <w:lang w:val="en-US" w:eastAsia="zh-CN"/>
        </w:rPr>
        <w:t>6</w:t>
      </w:r>
      <w:r>
        <w:rPr>
          <w:rFonts w:hint="eastAsia"/>
        </w:rPr>
        <w:t>分，得分率1</w:t>
      </w:r>
      <w:r>
        <w:t>00</w:t>
      </w:r>
      <w:r>
        <w:rPr>
          <w:rFonts w:hint="eastAsia"/>
        </w:rPr>
        <w:t>%。</w:t>
      </w:r>
    </w:p>
    <w:p>
      <w:pPr>
        <w:ind w:firstLine="562"/>
        <w:rPr>
          <w:rFonts w:hAnsi="宋体"/>
          <w:szCs w:val="28"/>
        </w:rPr>
      </w:pPr>
      <w:r>
        <w:rPr>
          <w:rFonts w:hint="eastAsia" w:hAnsi="宋体"/>
          <w:b/>
          <w:bCs/>
          <w:szCs w:val="28"/>
        </w:rPr>
        <w:t>信息公开机制：</w:t>
      </w:r>
      <w:r>
        <w:rPr>
          <w:rFonts w:hint="eastAsia" w:hAnsi="宋体"/>
          <w:szCs w:val="28"/>
        </w:rPr>
        <w:t>我单位通过在“民盟甘肃网”发布参政议政、社会服务以及基层盟务等工作动态，向社会公众公开单位工作成果，信息公开机制进一步健全完善。指标权重</w:t>
      </w:r>
      <w:r>
        <w:rPr>
          <w:rFonts w:hint="eastAsia" w:hAnsi="宋体"/>
          <w:szCs w:val="28"/>
          <w:lang w:val="en-US" w:eastAsia="zh-CN"/>
        </w:rPr>
        <w:t>6</w:t>
      </w:r>
      <w:r>
        <w:rPr>
          <w:rFonts w:hint="eastAsia" w:hAnsi="宋体"/>
          <w:szCs w:val="28"/>
        </w:rPr>
        <w:t>分，自评得分</w:t>
      </w:r>
      <w:r>
        <w:rPr>
          <w:rFonts w:hint="eastAsia" w:hAnsi="宋体"/>
          <w:szCs w:val="28"/>
          <w:lang w:val="en-US" w:eastAsia="zh-CN"/>
        </w:rPr>
        <w:t>6</w:t>
      </w:r>
      <w:r>
        <w:rPr>
          <w:rFonts w:hint="eastAsia" w:hAnsi="宋体"/>
          <w:szCs w:val="28"/>
        </w:rPr>
        <w:t>分，得分率1</w:t>
      </w:r>
      <w:r>
        <w:rPr>
          <w:rFonts w:hAnsi="宋体"/>
          <w:szCs w:val="28"/>
        </w:rPr>
        <w:t>00</w:t>
      </w:r>
      <w:r>
        <w:rPr>
          <w:rFonts w:hint="eastAsia" w:hAnsi="宋体"/>
          <w:szCs w:val="28"/>
        </w:rPr>
        <w:t>%。</w:t>
      </w:r>
    </w:p>
    <w:p>
      <w:pPr>
        <w:ind w:firstLine="562"/>
        <w:rPr>
          <w:b/>
          <w:bCs/>
          <w:szCs w:val="28"/>
        </w:rPr>
      </w:pPr>
      <w:r>
        <w:rPr>
          <w:rFonts w:hint="eastAsia"/>
          <w:b/>
          <w:bCs/>
          <w:szCs w:val="28"/>
        </w:rPr>
        <w:t>（3）满意度指标</w:t>
      </w:r>
    </w:p>
    <w:p>
      <w:pPr>
        <w:ind w:firstLine="560"/>
        <w:rPr>
          <w:rFonts w:hAnsi="宋体"/>
          <w:szCs w:val="28"/>
        </w:rPr>
      </w:pPr>
      <w:r>
        <w:rPr>
          <w:rFonts w:hint="eastAsia"/>
          <w:szCs w:val="28"/>
        </w:rPr>
        <w:t>满意度指标指相关受益群体的满意度，满意度指标设置为社会大众满意度。</w:t>
      </w:r>
      <w:r>
        <w:rPr>
          <w:rFonts w:hint="eastAsia" w:hAnsi="宋体"/>
          <w:szCs w:val="28"/>
        </w:rPr>
        <w:t>指标权重合计</w:t>
      </w:r>
      <w:r>
        <w:rPr>
          <w:rFonts w:hint="eastAsia" w:hAnsi="宋体"/>
          <w:szCs w:val="28"/>
          <w:lang w:val="en-US" w:eastAsia="zh-CN"/>
        </w:rPr>
        <w:t>6</w:t>
      </w:r>
      <w:r>
        <w:rPr>
          <w:rFonts w:hint="eastAsia" w:hAnsi="宋体"/>
          <w:szCs w:val="28"/>
        </w:rPr>
        <w:t>分，自评得分</w:t>
      </w:r>
      <w:r>
        <w:rPr>
          <w:rFonts w:hint="eastAsia" w:hAnsi="宋体"/>
          <w:szCs w:val="28"/>
          <w:lang w:val="en-US" w:eastAsia="zh-CN"/>
        </w:rPr>
        <w:t>6</w:t>
      </w:r>
      <w:r>
        <w:rPr>
          <w:rFonts w:hint="eastAsia" w:hAnsi="宋体"/>
          <w:szCs w:val="28"/>
        </w:rPr>
        <w:t>分，得分率为</w:t>
      </w:r>
      <w:r>
        <w:rPr>
          <w:rFonts w:hAnsi="宋体"/>
          <w:szCs w:val="28"/>
        </w:rPr>
        <w:t>100</w:t>
      </w:r>
      <w:r>
        <w:rPr>
          <w:rFonts w:hint="eastAsia" w:hAnsi="宋体"/>
          <w:szCs w:val="28"/>
        </w:rPr>
        <w:t>%。</w:t>
      </w:r>
    </w:p>
    <w:tbl>
      <w:tblPr>
        <w:tblStyle w:val="1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559"/>
        <w:gridCol w:w="1560"/>
        <w:gridCol w:w="850"/>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社会大众满意度</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w:t>
            </w:r>
            <w:r>
              <w:rPr>
                <w:rFonts w:hint="eastAsia" w:ascii="仿宋_GB2312" w:hAnsi="宋体" w:eastAsia="仿宋_GB2312" w:cs="宋体"/>
                <w:color w:val="000000"/>
                <w:kern w:val="0"/>
                <w:sz w:val="24"/>
                <w:szCs w:val="24"/>
                <w:lang w:val="en-US" w:eastAsia="zh-CN"/>
              </w:rPr>
              <w:t>9</w:t>
            </w:r>
            <w:r>
              <w:rPr>
                <w:rFonts w:ascii="仿宋_GB2312" w:hAnsi="宋体" w:eastAsia="仿宋_GB2312" w:cs="宋体"/>
                <w:color w:val="000000"/>
                <w:kern w:val="0"/>
                <w:sz w:val="24"/>
                <w:szCs w:val="24"/>
              </w:rPr>
              <w:t>5%</w:t>
            </w:r>
          </w:p>
        </w:tc>
        <w:tc>
          <w:tcPr>
            <w:tcW w:w="156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95%</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24" w:type="dxa"/>
            <w:gridSpan w:val="3"/>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hAnsi="宋体" w:eastAsia="仿宋_GB2312" w:cs="宋体"/>
                <w:b/>
                <w:bCs/>
                <w:color w:val="000000"/>
                <w:kern w:val="0"/>
                <w:sz w:val="24"/>
                <w:szCs w:val="24"/>
                <w:lang w:eastAsia="zh-CN"/>
              </w:rPr>
            </w:pPr>
            <w:r>
              <w:rPr>
                <w:rFonts w:hint="eastAsia" w:ascii="仿宋_GB2312" w:hAnsi="宋体" w:eastAsia="仿宋_GB2312" w:cs="宋体"/>
                <w:b/>
                <w:bCs/>
                <w:color w:val="000000"/>
                <w:kern w:val="0"/>
                <w:sz w:val="24"/>
                <w:szCs w:val="24"/>
                <w:lang w:val="en-US" w:eastAsia="zh-CN"/>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hint="eastAsia" w:ascii="仿宋_GB2312" w:eastAsia="仿宋_GB2312"/>
                <w:b/>
                <w:bCs/>
                <w:sz w:val="24"/>
                <w:szCs w:val="24"/>
                <w:lang w:eastAsia="zh-CN"/>
              </w:rPr>
            </w:pPr>
            <w:r>
              <w:rPr>
                <w:rFonts w:hint="eastAsia" w:ascii="仿宋_GB2312" w:eastAsia="仿宋_GB2312"/>
                <w:b/>
                <w:bCs/>
                <w:sz w:val="24"/>
                <w:szCs w:val="24"/>
                <w:lang w:val="en-US" w:eastAsia="zh-CN"/>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rPr>
          <w:rFonts w:hAnsi="宋体"/>
          <w:szCs w:val="28"/>
        </w:rPr>
      </w:pPr>
      <w:r>
        <w:rPr>
          <w:rFonts w:hint="eastAsia"/>
          <w:b/>
          <w:bCs/>
          <w:szCs w:val="28"/>
        </w:rPr>
        <w:t>社会大众满意度：</w:t>
      </w:r>
      <w:r>
        <w:rPr>
          <w:rFonts w:hint="eastAsia"/>
          <w:szCs w:val="28"/>
        </w:rPr>
        <w:t>我单位紧紧围绕全省改革发展大事和民生要事进行建言资政，</w:t>
      </w:r>
      <w:r>
        <w:rPr>
          <w:rFonts w:hint="eastAsia" w:hAnsi="宋体"/>
          <w:szCs w:val="28"/>
        </w:rPr>
        <w:t>为社会大众整体利益发声，工作取得良好成效，社会大众满意度达9</w:t>
      </w:r>
      <w:r>
        <w:rPr>
          <w:rFonts w:hAnsi="宋体"/>
          <w:szCs w:val="28"/>
        </w:rPr>
        <w:t>5</w:t>
      </w:r>
      <w:r>
        <w:rPr>
          <w:rFonts w:hint="eastAsia" w:hAnsi="宋体"/>
          <w:szCs w:val="28"/>
        </w:rPr>
        <w:t>%。指标权重</w:t>
      </w:r>
      <w:r>
        <w:rPr>
          <w:rFonts w:hint="eastAsia" w:hAnsi="宋体"/>
          <w:szCs w:val="28"/>
          <w:lang w:val="en-US" w:eastAsia="zh-CN"/>
        </w:rPr>
        <w:t>6</w:t>
      </w:r>
      <w:r>
        <w:rPr>
          <w:rFonts w:hint="eastAsia" w:hAnsi="宋体"/>
          <w:szCs w:val="28"/>
        </w:rPr>
        <w:t>分，自评得分</w:t>
      </w:r>
      <w:r>
        <w:rPr>
          <w:rFonts w:hint="eastAsia" w:hAnsi="宋体"/>
          <w:szCs w:val="28"/>
          <w:lang w:val="en-US" w:eastAsia="zh-CN"/>
        </w:rPr>
        <w:t>6</w:t>
      </w:r>
      <w:r>
        <w:rPr>
          <w:rFonts w:hint="eastAsia" w:hAnsi="宋体"/>
          <w:szCs w:val="28"/>
        </w:rPr>
        <w:t>分，得分率1</w:t>
      </w:r>
      <w:r>
        <w:rPr>
          <w:rFonts w:hAnsi="宋体"/>
          <w:szCs w:val="28"/>
        </w:rPr>
        <w:t>00</w:t>
      </w:r>
      <w:r>
        <w:rPr>
          <w:rFonts w:hint="eastAsia" w:hAnsi="宋体"/>
          <w:szCs w:val="28"/>
        </w:rPr>
        <w:t>%。</w:t>
      </w:r>
    </w:p>
    <w:p>
      <w:pPr>
        <w:pStyle w:val="4"/>
        <w:ind w:firstLine="562"/>
        <w:rPr>
          <w:szCs w:val="28"/>
        </w:rPr>
      </w:pPr>
      <w:bookmarkStart w:id="45" w:name="_Toc40046043"/>
      <w:r>
        <w:rPr>
          <w:rFonts w:hint="eastAsia"/>
          <w:szCs w:val="28"/>
        </w:rPr>
        <w:t>4</w:t>
      </w:r>
      <w:r>
        <w:rPr>
          <w:rFonts w:hint="eastAsia" w:hAnsi="宋体"/>
          <w:szCs w:val="28"/>
        </w:rPr>
        <w:t>、</w:t>
      </w:r>
      <w:r>
        <w:rPr>
          <w:rFonts w:hint="eastAsia"/>
          <w:szCs w:val="28"/>
        </w:rPr>
        <w:t>偏离绩效目标的原因及下一步改进措施</w:t>
      </w:r>
      <w:bookmarkEnd w:id="45"/>
    </w:p>
    <w:p>
      <w:pPr>
        <w:ind w:firstLine="562"/>
        <w:rPr>
          <w:rFonts w:hint="eastAsia" w:eastAsia="仿宋_GB2312"/>
          <w:b/>
          <w:bCs/>
          <w:lang w:eastAsia="zh-CN"/>
        </w:rPr>
      </w:pPr>
      <w:r>
        <w:rPr>
          <w:rFonts w:hint="eastAsia"/>
          <w:b/>
          <w:bCs/>
        </w:rPr>
        <w:t>（1）</w:t>
      </w:r>
      <w:r>
        <w:rPr>
          <w:rFonts w:hint="eastAsia"/>
          <w:b/>
          <w:bCs/>
          <w:lang w:eastAsia="zh-CN"/>
        </w:rPr>
        <w:t>参会人员</w:t>
      </w:r>
    </w:p>
    <w:p>
      <w:pPr>
        <w:ind w:firstLine="560"/>
        <w:rPr>
          <w:b/>
          <w:bCs/>
        </w:rPr>
      </w:pPr>
      <w:r>
        <w:rPr>
          <w:rFonts w:hint="eastAsia"/>
        </w:rPr>
        <w:t>偏差原因：因为疫情影响缩小培训规模，参会人员减少。改进措施：在设置目标值时，充分考虑到其他因素的影响，避免目标值过低或者过高。</w:t>
      </w:r>
    </w:p>
    <w:p>
      <w:pPr>
        <w:ind w:firstLine="562"/>
        <w:rPr>
          <w:rFonts w:hint="eastAsia" w:eastAsia="仿宋_GB2312"/>
          <w:b/>
          <w:bCs/>
          <w:lang w:eastAsia="zh-CN"/>
        </w:rPr>
      </w:pPr>
      <w:r>
        <w:rPr>
          <w:rFonts w:hint="eastAsia"/>
          <w:b/>
          <w:bCs/>
        </w:rPr>
        <w:t>（2）</w:t>
      </w:r>
      <w:r>
        <w:rPr>
          <w:rFonts w:hint="eastAsia"/>
          <w:b/>
          <w:bCs/>
          <w:lang w:eastAsia="zh-CN"/>
        </w:rPr>
        <w:t>参与培训人数</w:t>
      </w:r>
    </w:p>
    <w:p>
      <w:pPr>
        <w:ind w:firstLine="560"/>
        <w:rPr>
          <w:rFonts w:hint="eastAsia"/>
        </w:rPr>
      </w:pPr>
      <w:r>
        <w:rPr>
          <w:rFonts w:hint="eastAsia"/>
        </w:rPr>
        <w:t>偏差原因：因为疫情影响缩小培训规模，参与培训人员减少。改进措施：在设置目标值时，充分考虑到其他因素的影响，避免目标值过低或者过高。</w:t>
      </w:r>
    </w:p>
    <w:p>
      <w:pPr>
        <w:numPr>
          <w:ilvl w:val="0"/>
          <w:numId w:val="1"/>
        </w:numPr>
        <w:ind w:firstLine="562"/>
        <w:rPr>
          <w:rFonts w:hint="eastAsia"/>
          <w:b/>
          <w:bCs/>
          <w:lang w:eastAsia="zh-CN"/>
        </w:rPr>
      </w:pPr>
      <w:r>
        <w:rPr>
          <w:rFonts w:hint="eastAsia"/>
          <w:b/>
          <w:bCs/>
          <w:lang w:eastAsia="zh-CN"/>
        </w:rPr>
        <w:t>组织培训场次</w:t>
      </w:r>
    </w:p>
    <w:p>
      <w:pPr>
        <w:ind w:firstLine="560"/>
        <w:rPr>
          <w:rFonts w:hint="eastAsia"/>
        </w:rPr>
      </w:pPr>
      <w:bookmarkStart w:id="46" w:name="_Toc65597717"/>
      <w:bookmarkStart w:id="47" w:name="_Toc64058495"/>
      <w:bookmarkStart w:id="48" w:name="_Toc40046064"/>
      <w:r>
        <w:rPr>
          <w:rFonts w:hint="eastAsia"/>
        </w:rPr>
        <w:t>偏差原因：因为疫情影响缩小培训规模，组织培训场次减少。改进措施：在设置目标值时，充分考虑到其他因素的影响，避免目标值过低或者过高。</w:t>
      </w:r>
    </w:p>
    <w:p>
      <w:pPr>
        <w:pStyle w:val="2"/>
        <w:rPr>
          <w:rFonts w:hint="eastAsia"/>
        </w:rPr>
      </w:pPr>
      <w:r>
        <w:rPr>
          <w:rFonts w:hint="eastAsia"/>
        </w:rPr>
        <w:t>五、部门管理的省对市县转移支付绩效自评情况分析</w:t>
      </w:r>
      <w:bookmarkEnd w:id="46"/>
      <w:bookmarkEnd w:id="47"/>
      <w:bookmarkEnd w:id="48"/>
    </w:p>
    <w:p>
      <w:pPr>
        <w:ind w:firstLine="560"/>
      </w:pPr>
      <w:r>
        <w:rPr>
          <w:rFonts w:hint="eastAsia"/>
        </w:rPr>
        <w:t>无</w:t>
      </w:r>
    </w:p>
    <w:p>
      <w:pPr>
        <w:pStyle w:val="2"/>
        <w:keepNext w:val="0"/>
        <w:keepLines w:val="0"/>
        <w:pageBreakBefore w:val="0"/>
        <w:widowControl w:val="0"/>
        <w:kinsoku/>
        <w:wordWrap/>
        <w:overflowPunct/>
        <w:topLinePunct w:val="0"/>
        <w:autoSpaceDE/>
        <w:autoSpaceDN/>
        <w:bidi w:val="0"/>
        <w:adjustRightInd/>
        <w:snapToGrid/>
        <w:textAlignment w:val="auto"/>
      </w:pPr>
      <w:bookmarkStart w:id="49" w:name="_Toc8638"/>
      <w:bookmarkStart w:id="50" w:name="_Toc64058497"/>
      <w:bookmarkStart w:id="51" w:name="_Toc7144"/>
      <w:bookmarkStart w:id="52" w:name="_Toc65597718"/>
      <w:r>
        <w:rPr>
          <w:rFonts w:hint="eastAsia"/>
        </w:rPr>
        <w:t>六、绩效自评结果拟应用和公开情况</w:t>
      </w:r>
      <w:bookmarkEnd w:id="49"/>
      <w:bookmarkEnd w:id="50"/>
      <w:bookmarkEnd w:id="51"/>
      <w:bookmarkEnd w:id="52"/>
    </w:p>
    <w:p>
      <w:pPr>
        <w:keepNext w:val="0"/>
        <w:keepLines w:val="0"/>
        <w:pageBreakBefore w:val="0"/>
        <w:widowControl w:val="0"/>
        <w:kinsoku/>
        <w:wordWrap/>
        <w:overflowPunct/>
        <w:topLinePunct w:val="0"/>
        <w:autoSpaceDE/>
        <w:autoSpaceDN/>
        <w:bidi w:val="0"/>
        <w:adjustRightInd/>
        <w:snapToGrid/>
        <w:ind w:firstLine="560"/>
        <w:jc w:val="left"/>
        <w:textAlignment w:val="auto"/>
        <w:rPr>
          <w:rFonts w:hAnsi="宋体"/>
          <w:szCs w:val="28"/>
        </w:rPr>
      </w:pPr>
      <w:bookmarkStart w:id="56" w:name="_GoBack"/>
      <w:bookmarkEnd w:id="56"/>
      <w:r>
        <w:rPr>
          <w:rFonts w:hint="eastAsia" w:hAnsi="宋体"/>
          <w:szCs w:val="28"/>
        </w:rPr>
        <w:t>绩效自评结果的应用是单位完善政策和改进管理的重要依据，单位要加强评价结果的应用。根据政策文件规定，我单位绩效自评结果将随同202</w:t>
      </w:r>
      <w:r>
        <w:rPr>
          <w:rFonts w:hint="eastAsia" w:hAnsi="宋体"/>
          <w:szCs w:val="28"/>
          <w:lang w:val="en-US" w:eastAsia="zh-CN"/>
        </w:rPr>
        <w:t>1</w:t>
      </w:r>
      <w:r>
        <w:rPr>
          <w:rFonts w:hint="eastAsia" w:hAnsi="宋体"/>
          <w:szCs w:val="28"/>
        </w:rPr>
        <w:t>年度单位决算同步公开。</w:t>
      </w:r>
    </w:p>
    <w:p>
      <w:pPr>
        <w:pStyle w:val="2"/>
      </w:pPr>
      <w:bookmarkStart w:id="53" w:name="_Toc40046066"/>
      <w:bookmarkStart w:id="54" w:name="_Toc65597719"/>
      <w:bookmarkStart w:id="55" w:name="_Toc64058498"/>
      <w:r>
        <w:rPr>
          <w:rFonts w:hint="eastAsia"/>
        </w:rPr>
        <w:t>七、其他需要说明的问题</w:t>
      </w:r>
      <w:bookmarkEnd w:id="53"/>
      <w:bookmarkEnd w:id="54"/>
      <w:bookmarkEnd w:id="55"/>
    </w:p>
    <w:p>
      <w:pPr>
        <w:widowControl/>
        <w:ind w:firstLine="560"/>
        <w:jc w:val="left"/>
        <w:rPr>
          <w:rFonts w:hAnsi="宋体"/>
          <w:szCs w:val="28"/>
        </w:rPr>
      </w:pPr>
      <w:r>
        <w:rPr>
          <w:rFonts w:hint="eastAsia" w:hAnsi="宋体"/>
          <w:szCs w:val="28"/>
        </w:rPr>
        <w:t>无</w:t>
      </w:r>
    </w:p>
    <w:sectPr>
      <w:footerReference r:id="rId11" w:type="default"/>
      <w:pgSz w:w="11906" w:h="16838"/>
      <w:pgMar w:top="1440" w:right="1800" w:bottom="1440" w:left="1800" w:header="851" w:footer="992" w:gutter="0"/>
      <w:pgNumType w:start="1"/>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center"/>
    </w:pPr>
  </w:p>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3966314"/>
    </w:sdtPr>
    <w:sdtContent>
      <w:p>
        <w:pPr>
          <w:pStyle w:val="10"/>
          <w:ind w:firstLine="360"/>
          <w:jc w:val="center"/>
        </w:pPr>
        <w:r>
          <w:fldChar w:fldCharType="begin"/>
        </w:r>
        <w:r>
          <w:instrText xml:space="preserve">PAGE   \* MERGEFORMAT</w:instrText>
        </w:r>
        <w:r>
          <w:fldChar w:fldCharType="separate"/>
        </w:r>
        <w:r>
          <w:rPr>
            <w:lang w:val="zh-CN"/>
          </w:rPr>
          <w:t>39</w:t>
        </w:r>
        <w:r>
          <w:rPr>
            <w:lang w:val="zh-CN"/>
          </w:rPr>
          <w:fldChar w:fldCharType="end"/>
        </w:r>
      </w:p>
    </w:sdtContent>
  </w:sdt>
  <w:p>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0D06BA"/>
    <w:multiLevelType w:val="singleLevel"/>
    <w:tmpl w:val="2D0D06BA"/>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hideSpellingErrors/>
  <w:hideGrammaticalErrors/>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D58"/>
    <w:rsid w:val="00014ECA"/>
    <w:rsid w:val="000213E1"/>
    <w:rsid w:val="00023797"/>
    <w:rsid w:val="00030303"/>
    <w:rsid w:val="00030D22"/>
    <w:rsid w:val="00030D44"/>
    <w:rsid w:val="0003251B"/>
    <w:rsid w:val="0003556E"/>
    <w:rsid w:val="00036419"/>
    <w:rsid w:val="00040527"/>
    <w:rsid w:val="000438ED"/>
    <w:rsid w:val="0004401C"/>
    <w:rsid w:val="00044DD1"/>
    <w:rsid w:val="00045E47"/>
    <w:rsid w:val="00050062"/>
    <w:rsid w:val="00050C68"/>
    <w:rsid w:val="00051050"/>
    <w:rsid w:val="00054571"/>
    <w:rsid w:val="00054BF9"/>
    <w:rsid w:val="00055545"/>
    <w:rsid w:val="00056F3E"/>
    <w:rsid w:val="00057C3C"/>
    <w:rsid w:val="00064BA0"/>
    <w:rsid w:val="0006659C"/>
    <w:rsid w:val="000768BF"/>
    <w:rsid w:val="0008092A"/>
    <w:rsid w:val="00080F05"/>
    <w:rsid w:val="000824D5"/>
    <w:rsid w:val="00083EB0"/>
    <w:rsid w:val="000857E7"/>
    <w:rsid w:val="000966CE"/>
    <w:rsid w:val="0009789F"/>
    <w:rsid w:val="000A3069"/>
    <w:rsid w:val="000A6781"/>
    <w:rsid w:val="000B162D"/>
    <w:rsid w:val="000B4753"/>
    <w:rsid w:val="000B499A"/>
    <w:rsid w:val="000B5EE8"/>
    <w:rsid w:val="000C5001"/>
    <w:rsid w:val="000C7A34"/>
    <w:rsid w:val="000C7FC6"/>
    <w:rsid w:val="000D02CC"/>
    <w:rsid w:val="000D4EEA"/>
    <w:rsid w:val="000E1F2F"/>
    <w:rsid w:val="000E21DD"/>
    <w:rsid w:val="000E4E43"/>
    <w:rsid w:val="000E7EEC"/>
    <w:rsid w:val="000F236F"/>
    <w:rsid w:val="001043F0"/>
    <w:rsid w:val="00104D4A"/>
    <w:rsid w:val="00107B85"/>
    <w:rsid w:val="00110405"/>
    <w:rsid w:val="001115C8"/>
    <w:rsid w:val="001144A3"/>
    <w:rsid w:val="0011519A"/>
    <w:rsid w:val="0011742F"/>
    <w:rsid w:val="00120A93"/>
    <w:rsid w:val="001218CA"/>
    <w:rsid w:val="00123295"/>
    <w:rsid w:val="00127AE4"/>
    <w:rsid w:val="001318D6"/>
    <w:rsid w:val="00142AAB"/>
    <w:rsid w:val="001469EA"/>
    <w:rsid w:val="00146AFC"/>
    <w:rsid w:val="00147219"/>
    <w:rsid w:val="00151394"/>
    <w:rsid w:val="0016489D"/>
    <w:rsid w:val="00166D33"/>
    <w:rsid w:val="00170D1B"/>
    <w:rsid w:val="0017471F"/>
    <w:rsid w:val="00175D09"/>
    <w:rsid w:val="0017794A"/>
    <w:rsid w:val="0018791C"/>
    <w:rsid w:val="00187D6E"/>
    <w:rsid w:val="0019558D"/>
    <w:rsid w:val="0019687D"/>
    <w:rsid w:val="001971E3"/>
    <w:rsid w:val="00197906"/>
    <w:rsid w:val="001A6A95"/>
    <w:rsid w:val="001A6D1A"/>
    <w:rsid w:val="001B5C69"/>
    <w:rsid w:val="001B5CD2"/>
    <w:rsid w:val="001B6770"/>
    <w:rsid w:val="001B7165"/>
    <w:rsid w:val="001C528D"/>
    <w:rsid w:val="001C61A4"/>
    <w:rsid w:val="001C7421"/>
    <w:rsid w:val="001D44D2"/>
    <w:rsid w:val="001D6B19"/>
    <w:rsid w:val="001D6C13"/>
    <w:rsid w:val="001E3F74"/>
    <w:rsid w:val="001E60FD"/>
    <w:rsid w:val="001E7EB9"/>
    <w:rsid w:val="001F00DA"/>
    <w:rsid w:val="001F504F"/>
    <w:rsid w:val="001F5884"/>
    <w:rsid w:val="001F60F6"/>
    <w:rsid w:val="00204A98"/>
    <w:rsid w:val="00205DB9"/>
    <w:rsid w:val="00210E3F"/>
    <w:rsid w:val="00213E8A"/>
    <w:rsid w:val="00216967"/>
    <w:rsid w:val="00217014"/>
    <w:rsid w:val="00221093"/>
    <w:rsid w:val="00234C24"/>
    <w:rsid w:val="002359C2"/>
    <w:rsid w:val="002410C1"/>
    <w:rsid w:val="0024246D"/>
    <w:rsid w:val="00245EF8"/>
    <w:rsid w:val="002478F6"/>
    <w:rsid w:val="00247E57"/>
    <w:rsid w:val="00250CE5"/>
    <w:rsid w:val="00251669"/>
    <w:rsid w:val="00253798"/>
    <w:rsid w:val="002602A0"/>
    <w:rsid w:val="00264319"/>
    <w:rsid w:val="0026449E"/>
    <w:rsid w:val="002644B3"/>
    <w:rsid w:val="002646B4"/>
    <w:rsid w:val="002702B4"/>
    <w:rsid w:val="00270387"/>
    <w:rsid w:val="002708CD"/>
    <w:rsid w:val="00270F57"/>
    <w:rsid w:val="00271551"/>
    <w:rsid w:val="00273A56"/>
    <w:rsid w:val="00284101"/>
    <w:rsid w:val="002942DB"/>
    <w:rsid w:val="002A0996"/>
    <w:rsid w:val="002A138B"/>
    <w:rsid w:val="002A2E00"/>
    <w:rsid w:val="002C14E9"/>
    <w:rsid w:val="002C65E1"/>
    <w:rsid w:val="002D1764"/>
    <w:rsid w:val="002D3494"/>
    <w:rsid w:val="002E0E55"/>
    <w:rsid w:val="002E0F76"/>
    <w:rsid w:val="002E1CBB"/>
    <w:rsid w:val="002E49E9"/>
    <w:rsid w:val="002E56E5"/>
    <w:rsid w:val="002E66E3"/>
    <w:rsid w:val="002F1545"/>
    <w:rsid w:val="002F2330"/>
    <w:rsid w:val="002F4161"/>
    <w:rsid w:val="002F41C2"/>
    <w:rsid w:val="00303AF8"/>
    <w:rsid w:val="00303D48"/>
    <w:rsid w:val="003079AE"/>
    <w:rsid w:val="00310BD0"/>
    <w:rsid w:val="0031124F"/>
    <w:rsid w:val="003157EB"/>
    <w:rsid w:val="00317A62"/>
    <w:rsid w:val="00317D61"/>
    <w:rsid w:val="00324E61"/>
    <w:rsid w:val="00325C0E"/>
    <w:rsid w:val="00326275"/>
    <w:rsid w:val="00327D66"/>
    <w:rsid w:val="00327DA2"/>
    <w:rsid w:val="003375F0"/>
    <w:rsid w:val="003402F0"/>
    <w:rsid w:val="00342010"/>
    <w:rsid w:val="00344D6E"/>
    <w:rsid w:val="00344EC5"/>
    <w:rsid w:val="00347693"/>
    <w:rsid w:val="00347716"/>
    <w:rsid w:val="003513EB"/>
    <w:rsid w:val="00351C8E"/>
    <w:rsid w:val="0035288A"/>
    <w:rsid w:val="00353E91"/>
    <w:rsid w:val="00361E35"/>
    <w:rsid w:val="003630A1"/>
    <w:rsid w:val="00372B94"/>
    <w:rsid w:val="00375BFC"/>
    <w:rsid w:val="00376661"/>
    <w:rsid w:val="0038204E"/>
    <w:rsid w:val="00382731"/>
    <w:rsid w:val="00383C6B"/>
    <w:rsid w:val="00390024"/>
    <w:rsid w:val="00390A2A"/>
    <w:rsid w:val="00393B9F"/>
    <w:rsid w:val="003950A9"/>
    <w:rsid w:val="003A07DB"/>
    <w:rsid w:val="003B0259"/>
    <w:rsid w:val="003C318A"/>
    <w:rsid w:val="003D3432"/>
    <w:rsid w:val="003D4293"/>
    <w:rsid w:val="003D4CF5"/>
    <w:rsid w:val="003D7DA5"/>
    <w:rsid w:val="003E2D60"/>
    <w:rsid w:val="003E77A6"/>
    <w:rsid w:val="003F69E2"/>
    <w:rsid w:val="00402811"/>
    <w:rsid w:val="00404949"/>
    <w:rsid w:val="00413889"/>
    <w:rsid w:val="0041616C"/>
    <w:rsid w:val="004168A0"/>
    <w:rsid w:val="00426852"/>
    <w:rsid w:val="00426E93"/>
    <w:rsid w:val="00430D29"/>
    <w:rsid w:val="00433ABE"/>
    <w:rsid w:val="00434948"/>
    <w:rsid w:val="00436AD4"/>
    <w:rsid w:val="00437104"/>
    <w:rsid w:val="00441182"/>
    <w:rsid w:val="00441A48"/>
    <w:rsid w:val="00452EE4"/>
    <w:rsid w:val="004541DC"/>
    <w:rsid w:val="004554DB"/>
    <w:rsid w:val="004557EB"/>
    <w:rsid w:val="00463F4B"/>
    <w:rsid w:val="004663B5"/>
    <w:rsid w:val="00466DA0"/>
    <w:rsid w:val="004706D3"/>
    <w:rsid w:val="00470CA9"/>
    <w:rsid w:val="004737A0"/>
    <w:rsid w:val="00477568"/>
    <w:rsid w:val="0048049B"/>
    <w:rsid w:val="00480889"/>
    <w:rsid w:val="00483DFE"/>
    <w:rsid w:val="004858AB"/>
    <w:rsid w:val="00485B2E"/>
    <w:rsid w:val="0048753B"/>
    <w:rsid w:val="004906C4"/>
    <w:rsid w:val="00494588"/>
    <w:rsid w:val="004A433D"/>
    <w:rsid w:val="004B3422"/>
    <w:rsid w:val="004B6014"/>
    <w:rsid w:val="004B6B3B"/>
    <w:rsid w:val="004C342E"/>
    <w:rsid w:val="004C3985"/>
    <w:rsid w:val="004C5A69"/>
    <w:rsid w:val="004C63CE"/>
    <w:rsid w:val="004D073A"/>
    <w:rsid w:val="004D4050"/>
    <w:rsid w:val="004D7481"/>
    <w:rsid w:val="004E081D"/>
    <w:rsid w:val="004E24AA"/>
    <w:rsid w:val="004E3422"/>
    <w:rsid w:val="004E69BB"/>
    <w:rsid w:val="004F16D8"/>
    <w:rsid w:val="004F288A"/>
    <w:rsid w:val="004F3B61"/>
    <w:rsid w:val="004F45E7"/>
    <w:rsid w:val="005007BA"/>
    <w:rsid w:val="00506184"/>
    <w:rsid w:val="005147A9"/>
    <w:rsid w:val="00515336"/>
    <w:rsid w:val="00523542"/>
    <w:rsid w:val="0052694A"/>
    <w:rsid w:val="00526A60"/>
    <w:rsid w:val="00527F87"/>
    <w:rsid w:val="00531442"/>
    <w:rsid w:val="00531C61"/>
    <w:rsid w:val="00532A8C"/>
    <w:rsid w:val="00532BCE"/>
    <w:rsid w:val="005343EF"/>
    <w:rsid w:val="00536B92"/>
    <w:rsid w:val="00542C34"/>
    <w:rsid w:val="00543242"/>
    <w:rsid w:val="005433FE"/>
    <w:rsid w:val="0054448D"/>
    <w:rsid w:val="00545820"/>
    <w:rsid w:val="00546C26"/>
    <w:rsid w:val="005563AA"/>
    <w:rsid w:val="00560FF2"/>
    <w:rsid w:val="00561186"/>
    <w:rsid w:val="0056253F"/>
    <w:rsid w:val="00562D40"/>
    <w:rsid w:val="005652E3"/>
    <w:rsid w:val="00570223"/>
    <w:rsid w:val="00570247"/>
    <w:rsid w:val="005721A1"/>
    <w:rsid w:val="00577DAE"/>
    <w:rsid w:val="00580EBF"/>
    <w:rsid w:val="005842B6"/>
    <w:rsid w:val="005852D6"/>
    <w:rsid w:val="00586744"/>
    <w:rsid w:val="00586EBD"/>
    <w:rsid w:val="00593157"/>
    <w:rsid w:val="005936DD"/>
    <w:rsid w:val="00595153"/>
    <w:rsid w:val="005A1954"/>
    <w:rsid w:val="005A1D83"/>
    <w:rsid w:val="005A59BB"/>
    <w:rsid w:val="005A6FC9"/>
    <w:rsid w:val="005B3CC1"/>
    <w:rsid w:val="005B425F"/>
    <w:rsid w:val="005C2D75"/>
    <w:rsid w:val="005D274F"/>
    <w:rsid w:val="005D2778"/>
    <w:rsid w:val="005D6171"/>
    <w:rsid w:val="005E1A73"/>
    <w:rsid w:val="005E7309"/>
    <w:rsid w:val="005F0701"/>
    <w:rsid w:val="005F14FC"/>
    <w:rsid w:val="005F22E9"/>
    <w:rsid w:val="0060121A"/>
    <w:rsid w:val="0060206F"/>
    <w:rsid w:val="006022B9"/>
    <w:rsid w:val="0060337F"/>
    <w:rsid w:val="00603BEC"/>
    <w:rsid w:val="0060545E"/>
    <w:rsid w:val="00610391"/>
    <w:rsid w:val="00611FD1"/>
    <w:rsid w:val="006129AE"/>
    <w:rsid w:val="00614C6E"/>
    <w:rsid w:val="006179FC"/>
    <w:rsid w:val="006240C7"/>
    <w:rsid w:val="006249F7"/>
    <w:rsid w:val="00624B80"/>
    <w:rsid w:val="00626AE8"/>
    <w:rsid w:val="00631154"/>
    <w:rsid w:val="00631265"/>
    <w:rsid w:val="00632412"/>
    <w:rsid w:val="0063417F"/>
    <w:rsid w:val="006401CF"/>
    <w:rsid w:val="00641242"/>
    <w:rsid w:val="00645AED"/>
    <w:rsid w:val="00646DF6"/>
    <w:rsid w:val="006501A1"/>
    <w:rsid w:val="00652D58"/>
    <w:rsid w:val="006564C1"/>
    <w:rsid w:val="006609FC"/>
    <w:rsid w:val="006620F3"/>
    <w:rsid w:val="00674E66"/>
    <w:rsid w:val="00675765"/>
    <w:rsid w:val="00676504"/>
    <w:rsid w:val="006769F4"/>
    <w:rsid w:val="006843CF"/>
    <w:rsid w:val="006850CD"/>
    <w:rsid w:val="0068764C"/>
    <w:rsid w:val="00691BB9"/>
    <w:rsid w:val="0069632E"/>
    <w:rsid w:val="006977A0"/>
    <w:rsid w:val="006A279A"/>
    <w:rsid w:val="006B062C"/>
    <w:rsid w:val="006B49EC"/>
    <w:rsid w:val="006C5EAE"/>
    <w:rsid w:val="006C61D7"/>
    <w:rsid w:val="006C7761"/>
    <w:rsid w:val="006D516C"/>
    <w:rsid w:val="006D77C4"/>
    <w:rsid w:val="006D7925"/>
    <w:rsid w:val="006E271B"/>
    <w:rsid w:val="006E328B"/>
    <w:rsid w:val="006E6104"/>
    <w:rsid w:val="006F0E15"/>
    <w:rsid w:val="006F18DA"/>
    <w:rsid w:val="006F598D"/>
    <w:rsid w:val="006F5CB1"/>
    <w:rsid w:val="006F662D"/>
    <w:rsid w:val="006F70D2"/>
    <w:rsid w:val="006F7E6D"/>
    <w:rsid w:val="00705DC4"/>
    <w:rsid w:val="00710ACA"/>
    <w:rsid w:val="00710AD0"/>
    <w:rsid w:val="007128DD"/>
    <w:rsid w:val="0071366B"/>
    <w:rsid w:val="00720B93"/>
    <w:rsid w:val="00723CF1"/>
    <w:rsid w:val="007341EC"/>
    <w:rsid w:val="00735AAD"/>
    <w:rsid w:val="0073698C"/>
    <w:rsid w:val="00736B4E"/>
    <w:rsid w:val="00736BD7"/>
    <w:rsid w:val="00737791"/>
    <w:rsid w:val="00737DEA"/>
    <w:rsid w:val="00742194"/>
    <w:rsid w:val="007423D7"/>
    <w:rsid w:val="00750518"/>
    <w:rsid w:val="0076122E"/>
    <w:rsid w:val="007615BC"/>
    <w:rsid w:val="00762BFF"/>
    <w:rsid w:val="00764EFF"/>
    <w:rsid w:val="007714AB"/>
    <w:rsid w:val="00772C05"/>
    <w:rsid w:val="00774018"/>
    <w:rsid w:val="00774307"/>
    <w:rsid w:val="007829B8"/>
    <w:rsid w:val="00783351"/>
    <w:rsid w:val="00784C7D"/>
    <w:rsid w:val="00784EBE"/>
    <w:rsid w:val="00785F93"/>
    <w:rsid w:val="00786ADA"/>
    <w:rsid w:val="0079678A"/>
    <w:rsid w:val="00797CEA"/>
    <w:rsid w:val="007A085F"/>
    <w:rsid w:val="007A2F27"/>
    <w:rsid w:val="007A6244"/>
    <w:rsid w:val="007A7E4A"/>
    <w:rsid w:val="007B6DD0"/>
    <w:rsid w:val="007C2C62"/>
    <w:rsid w:val="007C63BA"/>
    <w:rsid w:val="007C6772"/>
    <w:rsid w:val="007C7C37"/>
    <w:rsid w:val="007E16B4"/>
    <w:rsid w:val="007E3139"/>
    <w:rsid w:val="007E5E3E"/>
    <w:rsid w:val="007F02D5"/>
    <w:rsid w:val="007F03B2"/>
    <w:rsid w:val="007F17CE"/>
    <w:rsid w:val="007F18C0"/>
    <w:rsid w:val="007F1BD2"/>
    <w:rsid w:val="007F4B64"/>
    <w:rsid w:val="007F6155"/>
    <w:rsid w:val="007F6CC7"/>
    <w:rsid w:val="007F79F5"/>
    <w:rsid w:val="008009A7"/>
    <w:rsid w:val="00801371"/>
    <w:rsid w:val="00801BF4"/>
    <w:rsid w:val="00815E7F"/>
    <w:rsid w:val="008167FD"/>
    <w:rsid w:val="00820C6C"/>
    <w:rsid w:val="00822B03"/>
    <w:rsid w:val="00823BEF"/>
    <w:rsid w:val="00823CC3"/>
    <w:rsid w:val="00826314"/>
    <w:rsid w:val="008266EB"/>
    <w:rsid w:val="0083275E"/>
    <w:rsid w:val="00832C18"/>
    <w:rsid w:val="008340B6"/>
    <w:rsid w:val="00834EDA"/>
    <w:rsid w:val="00836C6D"/>
    <w:rsid w:val="00837799"/>
    <w:rsid w:val="00837D74"/>
    <w:rsid w:val="00840DF1"/>
    <w:rsid w:val="00841C62"/>
    <w:rsid w:val="00851294"/>
    <w:rsid w:val="0085154D"/>
    <w:rsid w:val="00851C16"/>
    <w:rsid w:val="0085480A"/>
    <w:rsid w:val="0085592A"/>
    <w:rsid w:val="008574C6"/>
    <w:rsid w:val="00857699"/>
    <w:rsid w:val="008606AC"/>
    <w:rsid w:val="008615E1"/>
    <w:rsid w:val="00861EBA"/>
    <w:rsid w:val="00863D2C"/>
    <w:rsid w:val="00864D0E"/>
    <w:rsid w:val="00874257"/>
    <w:rsid w:val="0087569A"/>
    <w:rsid w:val="00875E92"/>
    <w:rsid w:val="008761B4"/>
    <w:rsid w:val="00877410"/>
    <w:rsid w:val="0088043A"/>
    <w:rsid w:val="008833E2"/>
    <w:rsid w:val="008839F4"/>
    <w:rsid w:val="00883A2E"/>
    <w:rsid w:val="0088461B"/>
    <w:rsid w:val="00886EE3"/>
    <w:rsid w:val="0089226C"/>
    <w:rsid w:val="00893048"/>
    <w:rsid w:val="008A282F"/>
    <w:rsid w:val="008A5960"/>
    <w:rsid w:val="008A74D9"/>
    <w:rsid w:val="008B1BF7"/>
    <w:rsid w:val="008B1FC4"/>
    <w:rsid w:val="008C29BA"/>
    <w:rsid w:val="008C2AA4"/>
    <w:rsid w:val="008D08B8"/>
    <w:rsid w:val="008D2429"/>
    <w:rsid w:val="008D370A"/>
    <w:rsid w:val="008D59CA"/>
    <w:rsid w:val="008E5D7D"/>
    <w:rsid w:val="008F0773"/>
    <w:rsid w:val="008F402F"/>
    <w:rsid w:val="008F45D4"/>
    <w:rsid w:val="008F7FD2"/>
    <w:rsid w:val="009010AF"/>
    <w:rsid w:val="009036C3"/>
    <w:rsid w:val="00903C0D"/>
    <w:rsid w:val="00907177"/>
    <w:rsid w:val="0090767D"/>
    <w:rsid w:val="00907927"/>
    <w:rsid w:val="00912CC1"/>
    <w:rsid w:val="00913015"/>
    <w:rsid w:val="00917714"/>
    <w:rsid w:val="00917B4C"/>
    <w:rsid w:val="0092332F"/>
    <w:rsid w:val="009257E0"/>
    <w:rsid w:val="00932B5A"/>
    <w:rsid w:val="00932F4F"/>
    <w:rsid w:val="00936BF5"/>
    <w:rsid w:val="00940204"/>
    <w:rsid w:val="00941D6D"/>
    <w:rsid w:val="0094584C"/>
    <w:rsid w:val="00945E76"/>
    <w:rsid w:val="009501A3"/>
    <w:rsid w:val="00950ABA"/>
    <w:rsid w:val="00953ACB"/>
    <w:rsid w:val="00953F19"/>
    <w:rsid w:val="00954940"/>
    <w:rsid w:val="00955336"/>
    <w:rsid w:val="00962555"/>
    <w:rsid w:val="00966C74"/>
    <w:rsid w:val="0096757F"/>
    <w:rsid w:val="00970078"/>
    <w:rsid w:val="0097045A"/>
    <w:rsid w:val="009756A3"/>
    <w:rsid w:val="0097611A"/>
    <w:rsid w:val="00976DDD"/>
    <w:rsid w:val="00986B7B"/>
    <w:rsid w:val="0098773C"/>
    <w:rsid w:val="009946EB"/>
    <w:rsid w:val="0099786E"/>
    <w:rsid w:val="009A09C2"/>
    <w:rsid w:val="009A2ED0"/>
    <w:rsid w:val="009A3375"/>
    <w:rsid w:val="009A618D"/>
    <w:rsid w:val="009A6F75"/>
    <w:rsid w:val="009B2E02"/>
    <w:rsid w:val="009B4515"/>
    <w:rsid w:val="009B5D07"/>
    <w:rsid w:val="009B7276"/>
    <w:rsid w:val="009C06A7"/>
    <w:rsid w:val="009C1943"/>
    <w:rsid w:val="009C281B"/>
    <w:rsid w:val="009C3669"/>
    <w:rsid w:val="009C39F7"/>
    <w:rsid w:val="009C3D97"/>
    <w:rsid w:val="009C7E63"/>
    <w:rsid w:val="009D2B82"/>
    <w:rsid w:val="009E059F"/>
    <w:rsid w:val="009E1CA1"/>
    <w:rsid w:val="009E4250"/>
    <w:rsid w:val="009F6E0C"/>
    <w:rsid w:val="00A009F5"/>
    <w:rsid w:val="00A1033A"/>
    <w:rsid w:val="00A10B53"/>
    <w:rsid w:val="00A1571D"/>
    <w:rsid w:val="00A20292"/>
    <w:rsid w:val="00A21879"/>
    <w:rsid w:val="00A21C62"/>
    <w:rsid w:val="00A21E55"/>
    <w:rsid w:val="00A2230D"/>
    <w:rsid w:val="00A2246B"/>
    <w:rsid w:val="00A22EC4"/>
    <w:rsid w:val="00A260E3"/>
    <w:rsid w:val="00A305EB"/>
    <w:rsid w:val="00A3199E"/>
    <w:rsid w:val="00A32C7E"/>
    <w:rsid w:val="00A35BC0"/>
    <w:rsid w:val="00A35FBF"/>
    <w:rsid w:val="00A364A6"/>
    <w:rsid w:val="00A3697C"/>
    <w:rsid w:val="00A457E5"/>
    <w:rsid w:val="00A465D8"/>
    <w:rsid w:val="00A5056D"/>
    <w:rsid w:val="00A52586"/>
    <w:rsid w:val="00A53B32"/>
    <w:rsid w:val="00A55156"/>
    <w:rsid w:val="00A5649A"/>
    <w:rsid w:val="00A61375"/>
    <w:rsid w:val="00A6552F"/>
    <w:rsid w:val="00A65D37"/>
    <w:rsid w:val="00A66829"/>
    <w:rsid w:val="00A77858"/>
    <w:rsid w:val="00A813CB"/>
    <w:rsid w:val="00A8460F"/>
    <w:rsid w:val="00A8587A"/>
    <w:rsid w:val="00A902DD"/>
    <w:rsid w:val="00A942F9"/>
    <w:rsid w:val="00AA4BF7"/>
    <w:rsid w:val="00AA5086"/>
    <w:rsid w:val="00AA54E0"/>
    <w:rsid w:val="00AA5FD8"/>
    <w:rsid w:val="00AA649B"/>
    <w:rsid w:val="00AB026B"/>
    <w:rsid w:val="00AB125C"/>
    <w:rsid w:val="00AB39E5"/>
    <w:rsid w:val="00AB4372"/>
    <w:rsid w:val="00AB4710"/>
    <w:rsid w:val="00AB7C1D"/>
    <w:rsid w:val="00AC3B27"/>
    <w:rsid w:val="00AC51F8"/>
    <w:rsid w:val="00AC584C"/>
    <w:rsid w:val="00AD00FC"/>
    <w:rsid w:val="00AD2D5D"/>
    <w:rsid w:val="00AD5F1C"/>
    <w:rsid w:val="00AD6776"/>
    <w:rsid w:val="00AD6D02"/>
    <w:rsid w:val="00AD6EB9"/>
    <w:rsid w:val="00AE01AA"/>
    <w:rsid w:val="00AE093D"/>
    <w:rsid w:val="00AE2F1E"/>
    <w:rsid w:val="00AE6495"/>
    <w:rsid w:val="00AE7506"/>
    <w:rsid w:val="00AF1D41"/>
    <w:rsid w:val="00AF2217"/>
    <w:rsid w:val="00AF3377"/>
    <w:rsid w:val="00AF439D"/>
    <w:rsid w:val="00AF7EB1"/>
    <w:rsid w:val="00B00F01"/>
    <w:rsid w:val="00B0147A"/>
    <w:rsid w:val="00B030F6"/>
    <w:rsid w:val="00B03C7F"/>
    <w:rsid w:val="00B03D40"/>
    <w:rsid w:val="00B0620C"/>
    <w:rsid w:val="00B07AA2"/>
    <w:rsid w:val="00B103A0"/>
    <w:rsid w:val="00B104A7"/>
    <w:rsid w:val="00B115C4"/>
    <w:rsid w:val="00B1207D"/>
    <w:rsid w:val="00B12851"/>
    <w:rsid w:val="00B146C1"/>
    <w:rsid w:val="00B23372"/>
    <w:rsid w:val="00B26956"/>
    <w:rsid w:val="00B3528D"/>
    <w:rsid w:val="00B36227"/>
    <w:rsid w:val="00B37E92"/>
    <w:rsid w:val="00B40196"/>
    <w:rsid w:val="00B4217A"/>
    <w:rsid w:val="00B43666"/>
    <w:rsid w:val="00B438A7"/>
    <w:rsid w:val="00B47317"/>
    <w:rsid w:val="00B5003D"/>
    <w:rsid w:val="00B50CA0"/>
    <w:rsid w:val="00B50D73"/>
    <w:rsid w:val="00B523FD"/>
    <w:rsid w:val="00B5466B"/>
    <w:rsid w:val="00B65126"/>
    <w:rsid w:val="00B65A09"/>
    <w:rsid w:val="00B70BE4"/>
    <w:rsid w:val="00B7149F"/>
    <w:rsid w:val="00B72427"/>
    <w:rsid w:val="00B72595"/>
    <w:rsid w:val="00B72EAB"/>
    <w:rsid w:val="00B735D1"/>
    <w:rsid w:val="00B73C88"/>
    <w:rsid w:val="00B74B9D"/>
    <w:rsid w:val="00B77CE9"/>
    <w:rsid w:val="00B80D6E"/>
    <w:rsid w:val="00B8164D"/>
    <w:rsid w:val="00B81903"/>
    <w:rsid w:val="00B81925"/>
    <w:rsid w:val="00B84C28"/>
    <w:rsid w:val="00B93DB3"/>
    <w:rsid w:val="00BA08B7"/>
    <w:rsid w:val="00BA58B9"/>
    <w:rsid w:val="00BA6804"/>
    <w:rsid w:val="00BA6A9B"/>
    <w:rsid w:val="00BA7F19"/>
    <w:rsid w:val="00BB0F32"/>
    <w:rsid w:val="00BB103A"/>
    <w:rsid w:val="00BB1C3A"/>
    <w:rsid w:val="00BB4FE4"/>
    <w:rsid w:val="00BB5598"/>
    <w:rsid w:val="00BB55A2"/>
    <w:rsid w:val="00BB5C2B"/>
    <w:rsid w:val="00BB7853"/>
    <w:rsid w:val="00BC4937"/>
    <w:rsid w:val="00BC49DC"/>
    <w:rsid w:val="00BD02D3"/>
    <w:rsid w:val="00BD137A"/>
    <w:rsid w:val="00BD2D34"/>
    <w:rsid w:val="00BD51C2"/>
    <w:rsid w:val="00BD61A7"/>
    <w:rsid w:val="00BE2E81"/>
    <w:rsid w:val="00BE411A"/>
    <w:rsid w:val="00BF36F8"/>
    <w:rsid w:val="00BF4C70"/>
    <w:rsid w:val="00BF56E1"/>
    <w:rsid w:val="00C0001D"/>
    <w:rsid w:val="00C01614"/>
    <w:rsid w:val="00C058B7"/>
    <w:rsid w:val="00C120DA"/>
    <w:rsid w:val="00C153EA"/>
    <w:rsid w:val="00C20D51"/>
    <w:rsid w:val="00C22781"/>
    <w:rsid w:val="00C252A8"/>
    <w:rsid w:val="00C27829"/>
    <w:rsid w:val="00C313EE"/>
    <w:rsid w:val="00C32742"/>
    <w:rsid w:val="00C35A29"/>
    <w:rsid w:val="00C362EA"/>
    <w:rsid w:val="00C37984"/>
    <w:rsid w:val="00C37B54"/>
    <w:rsid w:val="00C414F6"/>
    <w:rsid w:val="00C45FEC"/>
    <w:rsid w:val="00C5285C"/>
    <w:rsid w:val="00C5399E"/>
    <w:rsid w:val="00C53E3E"/>
    <w:rsid w:val="00C540D8"/>
    <w:rsid w:val="00C54C50"/>
    <w:rsid w:val="00C55F80"/>
    <w:rsid w:val="00C56789"/>
    <w:rsid w:val="00C611A7"/>
    <w:rsid w:val="00C61576"/>
    <w:rsid w:val="00C67399"/>
    <w:rsid w:val="00C7001B"/>
    <w:rsid w:val="00C737DD"/>
    <w:rsid w:val="00C74761"/>
    <w:rsid w:val="00C771B0"/>
    <w:rsid w:val="00C7726E"/>
    <w:rsid w:val="00C82C2F"/>
    <w:rsid w:val="00C83088"/>
    <w:rsid w:val="00C84089"/>
    <w:rsid w:val="00C85AC3"/>
    <w:rsid w:val="00C85D1D"/>
    <w:rsid w:val="00C860E0"/>
    <w:rsid w:val="00C873DF"/>
    <w:rsid w:val="00C934D2"/>
    <w:rsid w:val="00C9472D"/>
    <w:rsid w:val="00C94CEF"/>
    <w:rsid w:val="00CA0999"/>
    <w:rsid w:val="00CA28AE"/>
    <w:rsid w:val="00CA3B32"/>
    <w:rsid w:val="00CA3D3D"/>
    <w:rsid w:val="00CA5717"/>
    <w:rsid w:val="00CB5010"/>
    <w:rsid w:val="00CC32F6"/>
    <w:rsid w:val="00CD1F79"/>
    <w:rsid w:val="00CD633F"/>
    <w:rsid w:val="00CD7780"/>
    <w:rsid w:val="00CE4524"/>
    <w:rsid w:val="00CE491F"/>
    <w:rsid w:val="00CE5A1C"/>
    <w:rsid w:val="00CF0020"/>
    <w:rsid w:val="00CF1865"/>
    <w:rsid w:val="00D01983"/>
    <w:rsid w:val="00D01B15"/>
    <w:rsid w:val="00D026D7"/>
    <w:rsid w:val="00D0488E"/>
    <w:rsid w:val="00D04D5E"/>
    <w:rsid w:val="00D1068A"/>
    <w:rsid w:val="00D12061"/>
    <w:rsid w:val="00D14993"/>
    <w:rsid w:val="00D2123B"/>
    <w:rsid w:val="00D225DF"/>
    <w:rsid w:val="00D226AB"/>
    <w:rsid w:val="00D35528"/>
    <w:rsid w:val="00D36532"/>
    <w:rsid w:val="00D419C4"/>
    <w:rsid w:val="00D43F92"/>
    <w:rsid w:val="00D4439F"/>
    <w:rsid w:val="00D44709"/>
    <w:rsid w:val="00D46F97"/>
    <w:rsid w:val="00D4770A"/>
    <w:rsid w:val="00D50205"/>
    <w:rsid w:val="00D51DE9"/>
    <w:rsid w:val="00D52778"/>
    <w:rsid w:val="00D56518"/>
    <w:rsid w:val="00D5692A"/>
    <w:rsid w:val="00D5722D"/>
    <w:rsid w:val="00D57637"/>
    <w:rsid w:val="00D57E76"/>
    <w:rsid w:val="00D60048"/>
    <w:rsid w:val="00D609E3"/>
    <w:rsid w:val="00D62853"/>
    <w:rsid w:val="00D62F73"/>
    <w:rsid w:val="00D643F0"/>
    <w:rsid w:val="00D645E1"/>
    <w:rsid w:val="00D6488D"/>
    <w:rsid w:val="00D6776F"/>
    <w:rsid w:val="00D67B7E"/>
    <w:rsid w:val="00D7050E"/>
    <w:rsid w:val="00D731A4"/>
    <w:rsid w:val="00D747A1"/>
    <w:rsid w:val="00D751BD"/>
    <w:rsid w:val="00D75AEF"/>
    <w:rsid w:val="00D77798"/>
    <w:rsid w:val="00D77E18"/>
    <w:rsid w:val="00D81ACA"/>
    <w:rsid w:val="00D82551"/>
    <w:rsid w:val="00D834BD"/>
    <w:rsid w:val="00D8504B"/>
    <w:rsid w:val="00D862CF"/>
    <w:rsid w:val="00D864A9"/>
    <w:rsid w:val="00D87185"/>
    <w:rsid w:val="00D912AB"/>
    <w:rsid w:val="00D96A31"/>
    <w:rsid w:val="00D97AB3"/>
    <w:rsid w:val="00DA2079"/>
    <w:rsid w:val="00DA40DB"/>
    <w:rsid w:val="00DA491D"/>
    <w:rsid w:val="00DA5419"/>
    <w:rsid w:val="00DA5A19"/>
    <w:rsid w:val="00DA62DA"/>
    <w:rsid w:val="00DA6FF9"/>
    <w:rsid w:val="00DB4AC8"/>
    <w:rsid w:val="00DB506A"/>
    <w:rsid w:val="00DB52BF"/>
    <w:rsid w:val="00DB79CA"/>
    <w:rsid w:val="00DC0879"/>
    <w:rsid w:val="00DC503D"/>
    <w:rsid w:val="00DC5AAB"/>
    <w:rsid w:val="00DD1DBF"/>
    <w:rsid w:val="00DD6732"/>
    <w:rsid w:val="00DD7337"/>
    <w:rsid w:val="00DD7616"/>
    <w:rsid w:val="00DE32D2"/>
    <w:rsid w:val="00DE3DE5"/>
    <w:rsid w:val="00DF0F36"/>
    <w:rsid w:val="00DF3018"/>
    <w:rsid w:val="00DF3FD9"/>
    <w:rsid w:val="00DF4E9A"/>
    <w:rsid w:val="00DF55B9"/>
    <w:rsid w:val="00E00E92"/>
    <w:rsid w:val="00E05B09"/>
    <w:rsid w:val="00E0629D"/>
    <w:rsid w:val="00E13B7A"/>
    <w:rsid w:val="00E15A91"/>
    <w:rsid w:val="00E1700A"/>
    <w:rsid w:val="00E20DE7"/>
    <w:rsid w:val="00E21B75"/>
    <w:rsid w:val="00E244F2"/>
    <w:rsid w:val="00E25098"/>
    <w:rsid w:val="00E255CA"/>
    <w:rsid w:val="00E27599"/>
    <w:rsid w:val="00E3223F"/>
    <w:rsid w:val="00E33228"/>
    <w:rsid w:val="00E35C20"/>
    <w:rsid w:val="00E362F8"/>
    <w:rsid w:val="00E3681D"/>
    <w:rsid w:val="00E36F53"/>
    <w:rsid w:val="00E40F36"/>
    <w:rsid w:val="00E41A70"/>
    <w:rsid w:val="00E431D4"/>
    <w:rsid w:val="00E45235"/>
    <w:rsid w:val="00E4676F"/>
    <w:rsid w:val="00E47B1F"/>
    <w:rsid w:val="00E51E74"/>
    <w:rsid w:val="00E54A8F"/>
    <w:rsid w:val="00E560F4"/>
    <w:rsid w:val="00E568C5"/>
    <w:rsid w:val="00E6023B"/>
    <w:rsid w:val="00E61E32"/>
    <w:rsid w:val="00E634A2"/>
    <w:rsid w:val="00E64603"/>
    <w:rsid w:val="00E64A70"/>
    <w:rsid w:val="00E654AB"/>
    <w:rsid w:val="00E6608D"/>
    <w:rsid w:val="00E676AE"/>
    <w:rsid w:val="00E70B59"/>
    <w:rsid w:val="00E7171F"/>
    <w:rsid w:val="00E72813"/>
    <w:rsid w:val="00E7329C"/>
    <w:rsid w:val="00E733C0"/>
    <w:rsid w:val="00E73BEF"/>
    <w:rsid w:val="00E76EB3"/>
    <w:rsid w:val="00E80464"/>
    <w:rsid w:val="00E90DFC"/>
    <w:rsid w:val="00E97963"/>
    <w:rsid w:val="00E97D39"/>
    <w:rsid w:val="00EA3748"/>
    <w:rsid w:val="00EA4F67"/>
    <w:rsid w:val="00EA54A6"/>
    <w:rsid w:val="00EA5C92"/>
    <w:rsid w:val="00EB29CE"/>
    <w:rsid w:val="00EB34F5"/>
    <w:rsid w:val="00EB3F8F"/>
    <w:rsid w:val="00EB4E37"/>
    <w:rsid w:val="00EB670F"/>
    <w:rsid w:val="00EB7798"/>
    <w:rsid w:val="00EC001C"/>
    <w:rsid w:val="00EC068E"/>
    <w:rsid w:val="00EC1C38"/>
    <w:rsid w:val="00ED2943"/>
    <w:rsid w:val="00ED4628"/>
    <w:rsid w:val="00ED4E64"/>
    <w:rsid w:val="00ED520A"/>
    <w:rsid w:val="00ED7293"/>
    <w:rsid w:val="00EE010E"/>
    <w:rsid w:val="00EE15C8"/>
    <w:rsid w:val="00EE74B7"/>
    <w:rsid w:val="00EF2B2E"/>
    <w:rsid w:val="00EF38AF"/>
    <w:rsid w:val="00EF42D8"/>
    <w:rsid w:val="00F01ABD"/>
    <w:rsid w:val="00F021AD"/>
    <w:rsid w:val="00F0368F"/>
    <w:rsid w:val="00F0646E"/>
    <w:rsid w:val="00F10A1D"/>
    <w:rsid w:val="00F10D0F"/>
    <w:rsid w:val="00F11234"/>
    <w:rsid w:val="00F12554"/>
    <w:rsid w:val="00F158FF"/>
    <w:rsid w:val="00F17361"/>
    <w:rsid w:val="00F17925"/>
    <w:rsid w:val="00F20362"/>
    <w:rsid w:val="00F2349C"/>
    <w:rsid w:val="00F23712"/>
    <w:rsid w:val="00F264EB"/>
    <w:rsid w:val="00F27854"/>
    <w:rsid w:val="00F446D4"/>
    <w:rsid w:val="00F44B44"/>
    <w:rsid w:val="00F46B54"/>
    <w:rsid w:val="00F47E67"/>
    <w:rsid w:val="00F502EC"/>
    <w:rsid w:val="00F51E26"/>
    <w:rsid w:val="00F527EC"/>
    <w:rsid w:val="00F55B04"/>
    <w:rsid w:val="00F55E6E"/>
    <w:rsid w:val="00F60487"/>
    <w:rsid w:val="00F61E47"/>
    <w:rsid w:val="00F627C0"/>
    <w:rsid w:val="00F64907"/>
    <w:rsid w:val="00F65DD6"/>
    <w:rsid w:val="00F71876"/>
    <w:rsid w:val="00F80495"/>
    <w:rsid w:val="00F8086A"/>
    <w:rsid w:val="00F85363"/>
    <w:rsid w:val="00F85A64"/>
    <w:rsid w:val="00F85C0A"/>
    <w:rsid w:val="00F87CB6"/>
    <w:rsid w:val="00F90DE0"/>
    <w:rsid w:val="00F93374"/>
    <w:rsid w:val="00F9743F"/>
    <w:rsid w:val="00FA1080"/>
    <w:rsid w:val="00FA463E"/>
    <w:rsid w:val="00FA4696"/>
    <w:rsid w:val="00FB3DB1"/>
    <w:rsid w:val="00FC0404"/>
    <w:rsid w:val="00FC0551"/>
    <w:rsid w:val="00FC4214"/>
    <w:rsid w:val="00FD148B"/>
    <w:rsid w:val="00FD29F8"/>
    <w:rsid w:val="00FD5C73"/>
    <w:rsid w:val="00FD790F"/>
    <w:rsid w:val="00FE29BE"/>
    <w:rsid w:val="00FE480E"/>
    <w:rsid w:val="00FE4F84"/>
    <w:rsid w:val="00FE6E6A"/>
    <w:rsid w:val="00FF29F9"/>
    <w:rsid w:val="0A91191E"/>
    <w:rsid w:val="0B9F2D0C"/>
    <w:rsid w:val="11BF51D4"/>
    <w:rsid w:val="1B933537"/>
    <w:rsid w:val="2219714A"/>
    <w:rsid w:val="25D64A49"/>
    <w:rsid w:val="263533CA"/>
    <w:rsid w:val="26741A10"/>
    <w:rsid w:val="2A440579"/>
    <w:rsid w:val="328140D1"/>
    <w:rsid w:val="35625600"/>
    <w:rsid w:val="3C863D13"/>
    <w:rsid w:val="3FF03441"/>
    <w:rsid w:val="40CF5108"/>
    <w:rsid w:val="4616034B"/>
    <w:rsid w:val="48903EAD"/>
    <w:rsid w:val="49DF43C6"/>
    <w:rsid w:val="4DF1626F"/>
    <w:rsid w:val="4EA0233D"/>
    <w:rsid w:val="528A7DB9"/>
    <w:rsid w:val="543051D4"/>
    <w:rsid w:val="5DB60C2E"/>
    <w:rsid w:val="5E591771"/>
    <w:rsid w:val="69F06723"/>
    <w:rsid w:val="6EDB0572"/>
    <w:rsid w:val="742269C8"/>
    <w:rsid w:val="7742763C"/>
    <w:rsid w:val="7BC15398"/>
    <w:rsid w:val="7CFE5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仿宋_GB2312" w:hAnsi="仿宋_GB2312" w:eastAsia="仿宋_GB2312" w:cstheme="minorBidi"/>
      <w:kern w:val="2"/>
      <w:sz w:val="28"/>
      <w:szCs w:val="22"/>
      <w:lang w:val="en-US" w:eastAsia="zh-CN" w:bidi="ar-SA"/>
    </w:rPr>
  </w:style>
  <w:style w:type="paragraph" w:styleId="2">
    <w:name w:val="heading 1"/>
    <w:basedOn w:val="1"/>
    <w:next w:val="1"/>
    <w:link w:val="22"/>
    <w:qFormat/>
    <w:uiPriority w:val="9"/>
    <w:pPr>
      <w:keepNext/>
      <w:keepLines/>
      <w:spacing w:before="200" w:after="200"/>
      <w:ind w:firstLine="0" w:firstLineChars="0"/>
      <w:outlineLvl w:val="0"/>
    </w:pPr>
    <w:rPr>
      <w:rFonts w:ascii="黑体" w:hAnsi="黑体" w:eastAsia="黑体"/>
      <w:b/>
      <w:bCs/>
      <w:kern w:val="44"/>
      <w:sz w:val="32"/>
      <w:szCs w:val="44"/>
    </w:rPr>
  </w:style>
  <w:style w:type="paragraph" w:styleId="3">
    <w:name w:val="heading 2"/>
    <w:basedOn w:val="1"/>
    <w:next w:val="1"/>
    <w:link w:val="23"/>
    <w:unhideWhenUsed/>
    <w:qFormat/>
    <w:uiPriority w:val="9"/>
    <w:pPr>
      <w:keepNext/>
      <w:keepLines/>
      <w:spacing w:before="100" w:after="100"/>
      <w:outlineLvl w:val="1"/>
    </w:pPr>
    <w:rPr>
      <w:rFonts w:ascii="楷体" w:hAnsi="楷体" w:eastAsia="楷体" w:cstheme="majorBidi"/>
      <w:b/>
      <w:bCs/>
      <w:sz w:val="32"/>
      <w:szCs w:val="32"/>
    </w:rPr>
  </w:style>
  <w:style w:type="paragraph" w:styleId="4">
    <w:name w:val="heading 3"/>
    <w:basedOn w:val="1"/>
    <w:next w:val="1"/>
    <w:link w:val="24"/>
    <w:unhideWhenUsed/>
    <w:qFormat/>
    <w:uiPriority w:val="9"/>
    <w:pPr>
      <w:keepNext/>
      <w:keepLines/>
      <w:outlineLvl w:val="2"/>
    </w:pPr>
    <w:rPr>
      <w:b/>
      <w:bCs/>
      <w:szCs w:val="32"/>
    </w:rPr>
  </w:style>
  <w:style w:type="paragraph" w:styleId="5">
    <w:name w:val="heading 4"/>
    <w:basedOn w:val="1"/>
    <w:next w:val="1"/>
    <w:link w:val="25"/>
    <w:unhideWhenUsed/>
    <w:qFormat/>
    <w:uiPriority w:val="9"/>
    <w:pPr>
      <w:keepNext/>
      <w:keepLines/>
      <w:spacing w:before="280" w:after="290" w:line="376" w:lineRule="auto"/>
      <w:outlineLvl w:val="3"/>
    </w:pPr>
    <w:rPr>
      <w:rFonts w:asciiTheme="majorHAnsi" w:hAnsiTheme="majorHAnsi" w:eastAsiaTheme="majorEastAsia" w:cstheme="majorBidi"/>
      <w:b/>
      <w:bCs/>
      <w:szCs w:val="28"/>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0"/>
    <w:rPr>
      <w:rFonts w:eastAsia="黑体" w:asciiTheme="majorHAnsi" w:hAnsiTheme="majorHAnsi" w:cstheme="majorBidi"/>
      <w:sz w:val="20"/>
      <w:szCs w:val="20"/>
    </w:rPr>
  </w:style>
  <w:style w:type="paragraph" w:styleId="7">
    <w:name w:val="annotation text"/>
    <w:basedOn w:val="1"/>
    <w:link w:val="32"/>
    <w:unhideWhenUsed/>
    <w:qFormat/>
    <w:uiPriority w:val="99"/>
    <w:pPr>
      <w:jc w:val="left"/>
    </w:pPr>
  </w:style>
  <w:style w:type="paragraph" w:styleId="8">
    <w:name w:val="toc 3"/>
    <w:basedOn w:val="1"/>
    <w:next w:val="1"/>
    <w:unhideWhenUsed/>
    <w:qFormat/>
    <w:uiPriority w:val="39"/>
    <w:pPr>
      <w:ind w:left="840" w:leftChars="400"/>
    </w:pPr>
  </w:style>
  <w:style w:type="paragraph" w:styleId="9">
    <w:name w:val="Balloon Text"/>
    <w:basedOn w:val="1"/>
    <w:link w:val="29"/>
    <w:unhideWhenUsed/>
    <w:qFormat/>
    <w:uiPriority w:val="99"/>
    <w:pPr>
      <w:spacing w:line="240" w:lineRule="auto"/>
    </w:pPr>
    <w:rPr>
      <w:sz w:val="18"/>
      <w:szCs w:val="18"/>
    </w:rPr>
  </w:style>
  <w:style w:type="paragraph" w:styleId="10">
    <w:name w:val="footer"/>
    <w:basedOn w:val="1"/>
    <w:link w:val="28"/>
    <w:unhideWhenUsed/>
    <w:qFormat/>
    <w:uiPriority w:val="99"/>
    <w:pPr>
      <w:tabs>
        <w:tab w:val="center" w:pos="4153"/>
        <w:tab w:val="right" w:pos="8306"/>
      </w:tabs>
      <w:snapToGrid w:val="0"/>
      <w:spacing w:line="240" w:lineRule="auto"/>
      <w:jc w:val="left"/>
    </w:pPr>
    <w:rPr>
      <w:sz w:val="18"/>
      <w:szCs w:val="18"/>
    </w:rPr>
  </w:style>
  <w:style w:type="paragraph" w:styleId="11">
    <w:name w:val="header"/>
    <w:basedOn w:val="1"/>
    <w:link w:val="2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2">
    <w:name w:val="toc 1"/>
    <w:basedOn w:val="1"/>
    <w:next w:val="1"/>
    <w:unhideWhenUsed/>
    <w:qFormat/>
    <w:uiPriority w:val="39"/>
    <w:pPr>
      <w:tabs>
        <w:tab w:val="right" w:leader="dot" w:pos="8296"/>
      </w:tabs>
      <w:ind w:firstLine="0" w:firstLineChars="0"/>
    </w:pPr>
    <w:rPr>
      <w:rFonts w:hAnsi="宋体"/>
      <w:b/>
      <w:bCs/>
    </w:rPr>
  </w:style>
  <w:style w:type="paragraph" w:styleId="13">
    <w:name w:val="toc 2"/>
    <w:basedOn w:val="1"/>
    <w:next w:val="1"/>
    <w:unhideWhenUsed/>
    <w:qFormat/>
    <w:uiPriority w:val="39"/>
    <w:pPr>
      <w:tabs>
        <w:tab w:val="right" w:leader="dot" w:pos="8296"/>
      </w:tabs>
      <w:ind w:left="560" w:leftChars="200" w:firstLine="0" w:firstLineChars="0"/>
    </w:pPr>
  </w:style>
  <w:style w:type="paragraph" w:styleId="14">
    <w:name w:val="HTML Preformatted"/>
    <w:basedOn w:val="1"/>
    <w:link w:val="3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宋体" w:hAnsi="宋体" w:eastAsia="宋体" w:cs="宋体"/>
      <w:kern w:val="0"/>
      <w:sz w:val="24"/>
      <w:szCs w:val="24"/>
    </w:rPr>
  </w:style>
  <w:style w:type="paragraph" w:styleId="15">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6">
    <w:name w:val="annotation subject"/>
    <w:basedOn w:val="7"/>
    <w:next w:val="7"/>
    <w:link w:val="33"/>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563C1" w:themeColor="hyperlink"/>
      <w:u w:val="single"/>
      <w14:textFill>
        <w14:solidFill>
          <w14:schemeClr w14:val="hlink"/>
        </w14:solidFill>
      </w14:textFill>
    </w:rPr>
  </w:style>
  <w:style w:type="character" w:styleId="21">
    <w:name w:val="annotation reference"/>
    <w:basedOn w:val="19"/>
    <w:unhideWhenUsed/>
    <w:uiPriority w:val="99"/>
    <w:rPr>
      <w:sz w:val="21"/>
      <w:szCs w:val="21"/>
    </w:rPr>
  </w:style>
  <w:style w:type="character" w:customStyle="1" w:styleId="22">
    <w:name w:val="标题 1 字符"/>
    <w:basedOn w:val="19"/>
    <w:link w:val="2"/>
    <w:qFormat/>
    <w:uiPriority w:val="9"/>
    <w:rPr>
      <w:rFonts w:ascii="黑体" w:hAnsi="黑体" w:eastAsia="黑体"/>
      <w:b/>
      <w:bCs/>
      <w:kern w:val="44"/>
      <w:sz w:val="32"/>
      <w:szCs w:val="44"/>
    </w:rPr>
  </w:style>
  <w:style w:type="character" w:customStyle="1" w:styleId="23">
    <w:name w:val="标题 2 字符"/>
    <w:basedOn w:val="19"/>
    <w:link w:val="3"/>
    <w:qFormat/>
    <w:uiPriority w:val="9"/>
    <w:rPr>
      <w:rFonts w:ascii="楷体" w:hAnsi="楷体" w:eastAsia="楷体" w:cstheme="majorBidi"/>
      <w:b/>
      <w:bCs/>
      <w:sz w:val="32"/>
      <w:szCs w:val="32"/>
    </w:rPr>
  </w:style>
  <w:style w:type="character" w:customStyle="1" w:styleId="24">
    <w:name w:val="标题 3 字符"/>
    <w:basedOn w:val="19"/>
    <w:link w:val="4"/>
    <w:qFormat/>
    <w:uiPriority w:val="9"/>
    <w:rPr>
      <w:rFonts w:ascii="仿宋_GB2312" w:hAnsi="仿宋_GB2312" w:eastAsia="仿宋_GB2312"/>
      <w:b/>
      <w:bCs/>
      <w:sz w:val="28"/>
      <w:szCs w:val="32"/>
    </w:rPr>
  </w:style>
  <w:style w:type="character" w:customStyle="1" w:styleId="25">
    <w:name w:val="标题 4 字符"/>
    <w:basedOn w:val="19"/>
    <w:link w:val="5"/>
    <w:qFormat/>
    <w:uiPriority w:val="9"/>
    <w:rPr>
      <w:rFonts w:asciiTheme="majorHAnsi" w:hAnsiTheme="majorHAnsi" w:eastAsiaTheme="majorEastAsia" w:cstheme="majorBidi"/>
      <w:b/>
      <w:bCs/>
      <w:sz w:val="28"/>
      <w:szCs w:val="28"/>
    </w:rPr>
  </w:style>
  <w:style w:type="paragraph" w:customStyle="1" w:styleId="26">
    <w:name w:val="List Paragraph"/>
    <w:basedOn w:val="1"/>
    <w:qFormat/>
    <w:uiPriority w:val="34"/>
    <w:pPr>
      <w:ind w:firstLine="420"/>
    </w:pPr>
  </w:style>
  <w:style w:type="character" w:customStyle="1" w:styleId="27">
    <w:name w:val="页眉 字符"/>
    <w:basedOn w:val="19"/>
    <w:link w:val="11"/>
    <w:qFormat/>
    <w:uiPriority w:val="99"/>
    <w:rPr>
      <w:rFonts w:ascii="仿宋_GB2312" w:hAnsi="仿宋_GB2312" w:eastAsia="仿宋_GB2312"/>
      <w:sz w:val="18"/>
      <w:szCs w:val="18"/>
    </w:rPr>
  </w:style>
  <w:style w:type="character" w:customStyle="1" w:styleId="28">
    <w:name w:val="页脚 字符"/>
    <w:basedOn w:val="19"/>
    <w:link w:val="10"/>
    <w:qFormat/>
    <w:uiPriority w:val="99"/>
    <w:rPr>
      <w:rFonts w:ascii="仿宋_GB2312" w:hAnsi="仿宋_GB2312" w:eastAsia="仿宋_GB2312"/>
      <w:sz w:val="18"/>
      <w:szCs w:val="18"/>
    </w:rPr>
  </w:style>
  <w:style w:type="character" w:customStyle="1" w:styleId="29">
    <w:name w:val="批注框文本 字符"/>
    <w:basedOn w:val="19"/>
    <w:link w:val="9"/>
    <w:semiHidden/>
    <w:qFormat/>
    <w:uiPriority w:val="99"/>
    <w:rPr>
      <w:rFonts w:ascii="仿宋_GB2312" w:hAnsi="仿宋_GB2312" w:eastAsia="仿宋_GB2312"/>
      <w:sz w:val="18"/>
      <w:szCs w:val="18"/>
    </w:rPr>
  </w:style>
  <w:style w:type="paragraph" w:customStyle="1" w:styleId="30">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Cs w:val="32"/>
    </w:rPr>
  </w:style>
  <w:style w:type="character" w:customStyle="1" w:styleId="31">
    <w:name w:val="HTML 预设格式 字符"/>
    <w:basedOn w:val="19"/>
    <w:link w:val="14"/>
    <w:qFormat/>
    <w:uiPriority w:val="99"/>
    <w:rPr>
      <w:rFonts w:ascii="宋体" w:hAnsi="宋体" w:eastAsia="宋体" w:cs="宋体"/>
      <w:kern w:val="0"/>
      <w:sz w:val="24"/>
      <w:szCs w:val="24"/>
    </w:rPr>
  </w:style>
  <w:style w:type="character" w:customStyle="1" w:styleId="32">
    <w:name w:val="批注文字 字符"/>
    <w:basedOn w:val="19"/>
    <w:link w:val="7"/>
    <w:semiHidden/>
    <w:uiPriority w:val="99"/>
    <w:rPr>
      <w:rFonts w:ascii="仿宋_GB2312" w:hAnsi="仿宋_GB2312" w:eastAsia="仿宋_GB2312"/>
      <w:sz w:val="28"/>
    </w:rPr>
  </w:style>
  <w:style w:type="character" w:customStyle="1" w:styleId="33">
    <w:name w:val="批注主题 字符"/>
    <w:basedOn w:val="32"/>
    <w:link w:val="16"/>
    <w:semiHidden/>
    <w:qFormat/>
    <w:uiPriority w:val="99"/>
    <w:rPr>
      <w:rFonts w:ascii="仿宋_GB2312" w:hAnsi="仿宋_GB2312" w:eastAsia="仿宋_GB2312"/>
      <w:b/>
      <w:bCs/>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CE3B7E-AB54-4BD1-A82E-2F3209E0216E}">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2405</Words>
  <Characters>13711</Characters>
  <Lines>114</Lines>
  <Paragraphs>32</Paragraphs>
  <TotalTime>82</TotalTime>
  <ScaleCrop>false</ScaleCrop>
  <LinksUpToDate>false</LinksUpToDate>
  <CharactersWithSpaces>16084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2021-03-03T06:07:00Z</dcterms:created>
  <dc:creator>腊梅</dc:creator>
  <cp:lastModifiedBy>稻草人</cp:lastModifiedBy>
  <cp:lastPrinted>2022-03-07T03:04:00Z</cp:lastPrinted>
  <dcterms:modified xsi:type="dcterms:W3CDTF">2022-03-09T01:58:59Z</dcterms:modified>
  <dc:title>2020年度中国民主同盟甘肃省委员会</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E90FB76B0D0743CD9D7EB4AF3141979F</vt:lpwstr>
  </property>
</Properties>
</file>